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1B" w:rsidRPr="00963116" w:rsidRDefault="00731F1B" w:rsidP="00731F1B">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963116">
        <w:rPr>
          <w:rFonts w:ascii="Arial" w:eastAsia="宋体" w:hAnsi="Arial" w:cs="Arial"/>
          <w:b/>
          <w:bCs/>
          <w:color w:val="333333"/>
          <w:kern w:val="0"/>
          <w:sz w:val="32"/>
          <w:szCs w:val="32"/>
        </w:rPr>
        <w:t>【督导简报】总第</w:t>
      </w:r>
      <w:r w:rsidRPr="00963116">
        <w:rPr>
          <w:rFonts w:ascii="Arial" w:eastAsia="宋体" w:hAnsi="Arial" w:cs="Arial"/>
          <w:b/>
          <w:bCs/>
          <w:color w:val="333333"/>
          <w:kern w:val="0"/>
          <w:sz w:val="32"/>
          <w:szCs w:val="32"/>
        </w:rPr>
        <w:t>0</w:t>
      </w:r>
      <w:r>
        <w:rPr>
          <w:rFonts w:ascii="Arial" w:eastAsia="宋体" w:hAnsi="Arial" w:cs="Arial" w:hint="eastAsia"/>
          <w:b/>
          <w:bCs/>
          <w:color w:val="333333"/>
          <w:kern w:val="0"/>
          <w:sz w:val="32"/>
          <w:szCs w:val="32"/>
        </w:rPr>
        <w:t>40</w:t>
      </w:r>
      <w:r w:rsidRPr="00963116">
        <w:rPr>
          <w:rFonts w:ascii="Arial" w:eastAsia="宋体" w:hAnsi="Arial" w:cs="Arial"/>
          <w:b/>
          <w:bCs/>
          <w:color w:val="333333"/>
          <w:kern w:val="0"/>
          <w:sz w:val="32"/>
          <w:szCs w:val="32"/>
        </w:rPr>
        <w:t>期</w:t>
      </w:r>
    </w:p>
    <w:p w:rsidR="00731F1B" w:rsidRPr="007F22DF" w:rsidRDefault="00731F1B" w:rsidP="00731F1B">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731F1B" w:rsidRDefault="00731F1B" w:rsidP="00731F1B">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731F1B" w:rsidRPr="007F22DF" w:rsidRDefault="00731F1B" w:rsidP="00731F1B">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Pr>
          <w:rFonts w:ascii="宋体" w:eastAsia="宋体" w:hAnsi="宋体" w:cs="宋体" w:hint="eastAsia"/>
          <w:color w:val="555555"/>
          <w:kern w:val="0"/>
          <w:sz w:val="24"/>
          <w:szCs w:val="24"/>
        </w:rPr>
        <w:t>四十</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年</w:t>
      </w:r>
      <w:r w:rsidR="00790F6E">
        <w:rPr>
          <w:rFonts w:ascii="宋体" w:eastAsia="宋体" w:hAnsi="宋体" w:cs="宋体" w:hint="eastAsia"/>
          <w:b/>
          <w:bCs/>
          <w:color w:val="555555"/>
          <w:kern w:val="0"/>
          <w:sz w:val="24"/>
          <w:szCs w:val="24"/>
        </w:rPr>
        <w:t>9</w:t>
      </w:r>
      <w:r w:rsidRPr="008E3275">
        <w:rPr>
          <w:rFonts w:ascii="宋体" w:eastAsia="宋体" w:hAnsi="宋体" w:cs="宋体" w:hint="eastAsia"/>
          <w:b/>
          <w:bCs/>
          <w:color w:val="555555"/>
          <w:kern w:val="0"/>
          <w:sz w:val="24"/>
          <w:szCs w:val="24"/>
        </w:rPr>
        <w:t>月</w:t>
      </w:r>
      <w:r>
        <w:rPr>
          <w:rFonts w:ascii="宋体" w:eastAsia="宋体" w:hAnsi="宋体" w:cs="宋体" w:hint="eastAsia"/>
          <w:b/>
          <w:bCs/>
          <w:color w:val="555555"/>
          <w:kern w:val="0"/>
          <w:sz w:val="24"/>
          <w:szCs w:val="24"/>
        </w:rPr>
        <w:t>30</w:t>
      </w:r>
      <w:r w:rsidRPr="008E3275">
        <w:rPr>
          <w:rFonts w:ascii="宋体" w:eastAsia="宋体" w:hAnsi="宋体" w:cs="宋体" w:hint="eastAsia"/>
          <w:b/>
          <w:bCs/>
          <w:color w:val="555555"/>
          <w:kern w:val="0"/>
          <w:sz w:val="24"/>
          <w:szCs w:val="24"/>
        </w:rPr>
        <w:t>日</w:t>
      </w:r>
    </w:p>
    <w:p w:rsidR="00731F1B" w:rsidRPr="007F22DF" w:rsidRDefault="00731F1B" w:rsidP="00731F1B">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731F1B" w:rsidRDefault="00731F1B" w:rsidP="00790F6E">
      <w:pPr>
        <w:widowControl/>
        <w:shd w:val="clear" w:color="auto" w:fill="FFFFFF"/>
        <w:spacing w:beforeLines="50" w:afterLines="50" w:line="360" w:lineRule="auto"/>
        <w:ind w:firstLineChars="200" w:firstLine="480"/>
        <w:jc w:val="left"/>
        <w:rPr>
          <w:rFonts w:asciiTheme="majorEastAsia" w:eastAsiaTheme="majorEastAsia" w:hAnsiTheme="majorEastAsia" w:cs="宋体"/>
          <w:b/>
          <w:color w:val="333333"/>
          <w:kern w:val="0"/>
          <w:sz w:val="24"/>
          <w:szCs w:val="24"/>
        </w:rPr>
      </w:pPr>
      <w:r>
        <w:rPr>
          <w:rFonts w:ascii="宋体" w:eastAsia="仿宋" w:hAnsi="宋体" w:cs="宋体" w:hint="eastAsia"/>
          <w:color w:val="333333"/>
          <w:kern w:val="0"/>
          <w:sz w:val="24"/>
          <w:szCs w:val="24"/>
        </w:rPr>
        <w:t xml:space="preserve"> </w:t>
      </w:r>
      <w:r w:rsidRPr="00981AFD">
        <w:rPr>
          <w:rFonts w:asciiTheme="majorEastAsia" w:eastAsiaTheme="majorEastAsia" w:hAnsiTheme="majorEastAsia" w:cs="宋体" w:hint="eastAsia"/>
          <w:b/>
          <w:color w:val="333333"/>
          <w:kern w:val="0"/>
          <w:sz w:val="24"/>
          <w:szCs w:val="24"/>
        </w:rPr>
        <w:t>本期导读</w:t>
      </w:r>
    </w:p>
    <w:p w:rsidR="00731F1B" w:rsidRDefault="00731F1B" w:rsidP="00731F1B">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30734D">
        <w:rPr>
          <w:rFonts w:ascii="仿宋" w:eastAsia="仿宋" w:hAnsi="仿宋" w:hint="eastAsia"/>
          <w:b/>
          <w:bCs/>
          <w:color w:val="333333"/>
          <w:sz w:val="24"/>
          <w:szCs w:val="24"/>
        </w:rPr>
        <w:t>河北大学2017～2018学年教师课程教学质量评价分析报告</w:t>
      </w:r>
    </w:p>
    <w:p w:rsidR="00731F1B" w:rsidRDefault="00731F1B" w:rsidP="00731F1B">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483BFE">
        <w:rPr>
          <w:rFonts w:ascii="仿宋" w:eastAsia="仿宋" w:hAnsi="仿宋" w:hint="eastAsia"/>
          <w:b/>
          <w:bCs/>
          <w:color w:val="333333"/>
          <w:sz w:val="24"/>
          <w:szCs w:val="24"/>
        </w:rPr>
        <w:t>2018-2019学年秋学期期初教学督学检查和评价情况通报</w:t>
      </w:r>
    </w:p>
    <w:p w:rsidR="00731F1B" w:rsidRDefault="00731F1B" w:rsidP="00731F1B">
      <w:pPr>
        <w:widowControl/>
        <w:spacing w:line="360" w:lineRule="auto"/>
        <w:ind w:firstLine="561"/>
        <w:jc w:val="left"/>
        <w:rPr>
          <w:rFonts w:ascii="仿宋" w:eastAsia="仿宋" w:hAnsi="仿宋"/>
          <w:b/>
          <w:bCs/>
          <w:color w:val="333333"/>
          <w:sz w:val="24"/>
          <w:szCs w:val="24"/>
        </w:rPr>
      </w:pPr>
    </w:p>
    <w:p w:rsidR="00731F1B" w:rsidRDefault="00731F1B" w:rsidP="00731F1B">
      <w:pPr>
        <w:widowControl/>
        <w:spacing w:line="360" w:lineRule="auto"/>
        <w:ind w:firstLine="561"/>
        <w:jc w:val="left"/>
        <w:rPr>
          <w:rFonts w:ascii="仿宋" w:eastAsia="仿宋" w:hAnsi="仿宋"/>
          <w:b/>
          <w:bCs/>
          <w:color w:val="333333"/>
          <w:sz w:val="24"/>
          <w:szCs w:val="24"/>
        </w:rPr>
      </w:pPr>
    </w:p>
    <w:p w:rsidR="00731F1B" w:rsidRDefault="00731F1B" w:rsidP="00731F1B">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30734D">
        <w:rPr>
          <w:rFonts w:ascii="仿宋" w:eastAsia="仿宋" w:hAnsi="仿宋" w:hint="eastAsia"/>
          <w:b/>
          <w:bCs/>
          <w:color w:val="333333"/>
          <w:sz w:val="24"/>
          <w:szCs w:val="24"/>
        </w:rPr>
        <w:t>河北大学2017～2018学年教师课程教学质量评价分析报告</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为进一步加强课程教学质量管理，科学评价教师课程教学，提高教师课程教学质量，我校分秋、春两学期开展了2017～2018学年教师课程教学质量评价工作。教师课程教学质量评估分校院两个层面开展，包括优秀评价、合格评价和常规评价三种形式。</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一、数据分析</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（一）优秀评价</w:t>
      </w:r>
    </w:p>
    <w:p w:rsidR="00731F1B" w:rsidRPr="0030734D" w:rsidRDefault="00731F1B" w:rsidP="00731F1B">
      <w:pPr>
        <w:snapToGrid w:val="0"/>
        <w:spacing w:line="360" w:lineRule="auto"/>
        <w:ind w:leftChars="50" w:left="105"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本学年各教学单位共推荐178名教师参加优秀评价，实际参评</w:t>
      </w:r>
    </w:p>
    <w:p w:rsidR="00731F1B" w:rsidRPr="0030734D" w:rsidRDefault="00731F1B" w:rsidP="00731F1B">
      <w:pPr>
        <w:snapToGrid w:val="0"/>
        <w:spacing w:line="360" w:lineRule="auto"/>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175人（3人因课程安排等原因自动放弃），评选出教学质量优秀人员170人,5人未能获得优秀，其中1人因总成绩低于90分，4人因学校评教均值低于90分。优秀评价结果由学校评价、学院评价、教师自评和学生评教四部分构成。</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 xml:space="preserve"> 1.学校评价 </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教师课程教学质量优秀评价学校评价结果取校级专家评价成绩均值。实际参评的175名教师中，最高分97.7分，最低分76.7分，平均分92.5分。学校评价成绩分布情况如下图：</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lastRenderedPageBreak/>
        <w:drawing>
          <wp:inline distT="0" distB="0" distL="0" distR="0">
            <wp:extent cx="4572000" cy="274320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 xml:space="preserve">2.学院评价 </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教师课程教学质量优秀评价学院评价取院级专家评价成绩均值。实际参评的175名教师中，最高分99分，最低分73分，平均分94.3分。学院评价成绩分布情况如下图：</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 xml:space="preserve">3.教师自评 </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从2017-2018学年春学期开始，教师自评成绩列入教师课程教学质量优秀评价结果，春学期参评的83名教师均按要求完成自评，最高分100分，最低分90分，平均分数96.2分。教师自评成绩分布情况如下图：</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lastRenderedPageBreak/>
        <w:drawing>
          <wp:inline distT="0" distB="0" distL="0" distR="0">
            <wp:extent cx="4572000" cy="2524125"/>
            <wp:effectExtent l="19050" t="0" r="19050" b="0"/>
            <wp:docPr id="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 xml:space="preserve">4.学生评教 </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本学年参评教师课程教学质量优秀评价的175名教师中，最高分99.7分，最低分82.9分，平均分96.5分。学生评教成绩分布情况如下图：</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5.综合评价</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综合学校评价、学院评价、学生评教和教师自评成绩，本学年实际参评的175名教师中，综合评价结果最高分98.5分，最低分88.2分，平均分94.5分。综合评价成绩分布情况如下图：</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lastRenderedPageBreak/>
        <w:drawing>
          <wp:inline distT="0" distB="0" distL="0" distR="0">
            <wp:extent cx="4552950" cy="2846070"/>
            <wp:effectExtent l="19050" t="0" r="19050" b="0"/>
            <wp:docPr id="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（二）合格评价</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本学年共有65名教师参加合格评价，4人因课程安排等原因自动放弃，其余61人全部通过合格评价。合格评价结果由学院评价、教师自评和学生评教三部分构成。</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1.学院评价</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教师课程教学质量合格评价中，实际参评的61名教师中，最高分99分，最低分78.7分，平均分91.3分。学院评价成绩分布情况如下图：</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1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2.教师自评</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2017-2018学年春学期参评合格评价的教师按要求进行了自评，自评成绩最</w:t>
      </w:r>
      <w:r w:rsidRPr="0030734D">
        <w:rPr>
          <w:rFonts w:ascii="仿宋" w:eastAsia="仿宋" w:hAnsi="仿宋" w:cs="宋体" w:hint="eastAsia"/>
          <w:bCs/>
          <w:color w:val="333333"/>
          <w:kern w:val="0"/>
          <w:sz w:val="24"/>
          <w:szCs w:val="24"/>
        </w:rPr>
        <w:lastRenderedPageBreak/>
        <w:t>高分99分，最低分80分，平均分92.1分。教师自评成绩分布情况如下图：</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3.学生评教</w:t>
      </w:r>
    </w:p>
    <w:p w:rsidR="00731F1B" w:rsidRPr="0030734D" w:rsidRDefault="00731F1B" w:rsidP="00731F1B">
      <w:pPr>
        <w:snapToGrid w:val="0"/>
        <w:spacing w:line="360" w:lineRule="auto"/>
        <w:ind w:leftChars="50" w:left="105" w:firstLineChars="150" w:firstLine="36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教师课程教学质量合格评价中，参评的61名教师学生评教成绩最高分 99.6分，最低分85分 ，平均分96.7分。学生评教成绩分布情况如下图：</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1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（三）常规评价</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本学年学校督学采取期初教学检查、随机监测听课两种形式，共对508人次开展了常规评价。常规评价最高分99分，最低分70分，平均分92分。评价成绩分布情况见下图：</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lastRenderedPageBreak/>
        <w:drawing>
          <wp:inline distT="0" distB="0" distL="0" distR="0">
            <wp:extent cx="4572000" cy="2743200"/>
            <wp:effectExtent l="19050" t="0" r="19050" b="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二、结果分析</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（一）教师教学</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1.教学态度与教学规范</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各学院（部）的教师整体做得比较好，绝大部分能严格遵守作息时间，提前达到教室做准备，没有接打电话情况发生，仪态端庄，教态亲切自然，举止文明，多能使用普通话教学，发音清晰，表现出较强的责任心。绝大多数老师课堂纪律要求非常严格，对建立良好学风起到积极作用。</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不足之处：有个别教师踏着时间点进入教室，虽未迟到，但课前准备时间偏短。</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2.教学内容</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各学院教师对教材普遍比较熟悉或很熟悉，对内容的选择和处理均比较好；教学内容符合专业要求，充实丰富，知识结构有层次，逻辑性强；大部分教师能吸收学科新观点和新成果到课堂教学中，注意理论与实践的结合，有很多老师引用了丰富的实例来帮助学生理解，材料新颖；有来自不同学院的教师能够非常认真地检查与反馈学生课下作业。</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不同学院都有个别教师在新观点引入、实例或事例的列举与分析、知识的结构化方面还不太充分，有的授课内容过于浅显，个别教师信息量不十分充足；个别教师授课只是教材内容的重复，缺乏深入浅出的讲解，缺乏必要的引导和解释，不能让学生理解和掌握；不能够突出重点、难点，教学目标不够明确；有的教师对内容不够熟练，有卡壳现象出现，个别概念解释不是特别清晰。</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lastRenderedPageBreak/>
        <w:t>3.教学手段和方法的运用</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大部分教师能根据教学内容和学生发展需要与特点采用多样方法。使用多媒体的教师在操作上都熟练，课件质量普遍较好；使用普通教室的教师在板书设计上大部分做得比较好，设计简练清晰，主副板书使用得当。部分课堂师生互动充分，有的教师有针对性地设计讨论活动，有的课堂上教师提问多且有追问，学生回答主动并能有自己观点；大部分教师对学生的回答能有及时反馈和评价，且反馈与评价具有针对性。</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不足之处：部分教师课堂上与学生的互动不充分，缺少与学生的交流，提出实例后缺少让学生独立思考并发表见解的机会；有的教师在对学生的课堂活动要求未做明确提示；个别教师课件制作水平较差， 过于简单，形式呆板，文字较多，内容不够精炼，重点不够突出，不能充分利用图表或音频、视频资料、图片等手段，没有发挥出多媒体教学的优势，有的课件文字、标点使用不够准确、规范，字迹较小，或背景颜色和字体颜色搭配不协调；个别老师普通板书使用不规范或干脆无板书。</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4.教学组织与教学艺术</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总体表现非常好，多数教师课堂教学设计环节比较合理，教学过程完整，思路清晰，活动组织有序，能充分利用课时，教学语言通俗易懂；大部分教师在课程导入环节准备充分，教学中能明确学习的重点，对学生在课堂上的表现给予及时评价，能积极鼓励学生和正向引导学生；在出勤、提问、讨论等环节有明确的课堂规则。</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课堂教学管理还有待加强，有的课程缺乏合理的教学设计，随意性较大，与课程内容联系不够紧密；有的课程教案设计不合理，课堂教学效果差，教师讲课缺乏吸引力，课堂气氛不和谐，课堂表现松散，教师和学生完全没有呼应；有些课堂缺乏互动设计或互动组织不合理，有的教师授课根本没有互动设计，有的虽有互动设计，但内容、方式、时间安排不尽合理；有的教师对学生所讲内容缺乏必要的总结和点评，不利于提高互动的效果；许多课堂上都发现有学生玩手机或趴着睡觉等现象，绝大多数教师很少关注这种现象，不能通过课堂管理策略的调整及时处理。</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5.教学效果</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值得肯定之处：绝大部分教师教学态度认真，一些课堂教学很有吸引力，课</w:t>
      </w:r>
      <w:r w:rsidRPr="0030734D">
        <w:rPr>
          <w:rFonts w:ascii="仿宋" w:eastAsia="仿宋" w:hAnsi="仿宋" w:cs="宋体" w:hint="eastAsia"/>
          <w:bCs/>
          <w:color w:val="333333"/>
          <w:kern w:val="0"/>
          <w:sz w:val="24"/>
          <w:szCs w:val="24"/>
        </w:rPr>
        <w:lastRenderedPageBreak/>
        <w:t>堂秩序总体比较好，气氛和谐，学生能较好理解课堂授课内容。</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有些专业基础课课堂规模过大，无法保证教学效果；如：有些专业基础课需要较好的高等数学基础，理解和应用的难度都很大，课堂规模达了100人以上，甚至超过150人，教师无法掌控教学效果，导致很多学生根本跟不上教学内容，对教学内容不能理解和应用，给后续的课程考核带来诸多无法解决的问题。</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6.教学资料</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值得肯定之处：多数教师教学资料齐全，教材选取恰当；教学日历绝大部分都使用学校模板，撰写规范；绝大大部分教师有教案，且有的教案非常详细。</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教学日历中，多数教师对课堂教学的活动环节内容及所用课时没有做出标示；部分教师教案撰写过于简单，仅有几条讲授内容的标题，缺乏课堂教学环节与活动的整体设计与呈现；个别教师没有按要求携带教学资料。</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（二） 学生学习</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1学生到课率：各学院整体出勤情况总体良好，有些课堂学生到课率较低。</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2.听课纪律：总体表现比较好，特别是小班授课的效果明显要好。但部分课堂尤其是后排发现有学生玩手机、睡觉、聊天、看其他书籍等情况发生。</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3.师生与生生互动：有的课堂表现出色，互动很多，有学生主动回答教师提问，但有的课堂互动不足，甚至很少。</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三、改进建议</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（一）加强教师的教学规范与教学技能的指导与培训</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规范是搞好教学工作的前提，要让教师明确规范是教学基本要求，创新是教学工作的最高体现。校院两级层面要主动加强对教师教学规范指导，在教学活动的设计与组织方面做好更加具体的指导工作，提高教师课堂教学整体设计的意识与能力，特别要增强对学生参与课堂教学活动的设计与安排。</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（二）加强教师的教学新理念认知</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学理念是影响教师教学行为的关键因素。校院两级应增加定期的教学理论和理念培训，鼓励教师进行教学模式改革，特别是贯彻“教学相长”思想，提升教师的课堂师生互动意识，以及学生积极参与和互动的意识与能力，把课堂教学和人才培养要求真正结合起来。鼓励教师掌握并真正运用小组合作学习方式，提高学生课堂参与的知识准备与能力。</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lastRenderedPageBreak/>
        <w:t>（三）重视教案设计，定期开展教案观摩</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案是一门课程如何进行课堂教学的总体设计，该设计是否合理，直接影响和决定着课堂教学的具体形式、使用的教学手段和最终的教学效果，但一些教师对教案设计的重要性认识不足。各承担教学任务的单位要强调教案设计的重要性，可以适时开展教案设计评比，组织教案观摩活动。</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（四）进一步提高课件制作水平</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方面教务处要继续专门组织课件制作的培训，结合信息技术的新发展，提高教师课件制作的质量水平；另一方面，要通过课件评选、课件观摩等活动，提高教师改善课件的积极性和针对性，从而提高课件对学生的吸引力，增强教学效果。</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（五）进一步完善教师教学水平评估体系</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门课讲的好坏从根本上讲是要看学生是否通过老师的讲解加深理解了课程的重点和难点，学会并掌握了相关知识和技能。因此，建议增加对课程讲授深度及充分性的评估，不能只是看语言是否生动、互动是否充分、教学环节是否完善等表面内容，而要加入课程难度、讲授深度、讲解充分性与学生理解程度等观测点。</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（六）严格控制专业基础课的课堂规模</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造成合班上课、导致课堂规模过大的主要根源是教师数量不足，个别学院的生师比远远超过了18：1的要求。建议学校要采取有效措施，实现紧缺专业教师的有效招聘，尽快解决任课教师不足的问题，从根本上消除合班上课，控制课堂规模。</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（七）加强优秀教师对青年教师的教学引领作用</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继续定期组织优秀教师教学示范课，有效组织相关教师进行观摩，在教师中形成不断锤炼、提高教学基本功的氛围和平台，这是对优秀教师教学水平的肯定和鼓励，也是尽快提高青年教师教学水平和教学效果的有效途径。为保持优秀教师争开教学示范课的积极性，建议学校对讲授教学示范课的优秀教师应给予必要的支持和奖励。</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（八）进一步加强课堂教学的组织和管理</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好的课堂教学必须建立在好的课堂管理基础上。课堂教学不只是教师讲授教材内容的过程，而是与学生一起互动、思考、教学生学会做事和做人的过程。大</w:t>
      </w:r>
      <w:r w:rsidRPr="0030734D">
        <w:rPr>
          <w:rFonts w:ascii="仿宋" w:eastAsia="仿宋" w:hAnsi="仿宋" w:cs="宋体" w:hint="eastAsia"/>
          <w:bCs/>
          <w:color w:val="333333"/>
          <w:kern w:val="0"/>
          <w:sz w:val="24"/>
          <w:szCs w:val="24"/>
        </w:rPr>
        <w:lastRenderedPageBreak/>
        <w:t>学课堂里，课堂规则的制定、授课中在教室里的适当走动、适当的语言提示等，此外还有通过个别回答问题与集体回答问题相结合的方式的运用都能提高学生的兴趣和注意力，提高教学效果。一方面，学校主管部门要进一步加强学风建设的监督管理，提高学生的学习积极性、自觉性、组织纪律性；另一方面，任课教师应通过努力提高教学水平来提高所讲授课程对学生的吸引力，并通过必要的措施加强课堂的组织管理，充分调动学生的学习积极性。</w:t>
      </w:r>
    </w:p>
    <w:p w:rsidR="00731F1B" w:rsidRPr="0030734D"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（九）不断改善教学条件</w:t>
      </w:r>
    </w:p>
    <w:p w:rsidR="00731F1B" w:rsidRDefault="00731F1B" w:rsidP="00731F1B">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评价过程中，发现部分教室教学环境比较差，特别是多次反映在教学质量提案中的“多媒体屏幕发暗、后排看不清楚，或屏幕被遮挡”问题一直未解决，一定程度上影响了课堂教学效果，建议学校相关部门予以重视，定期检查教学设施，尽快解决反映的问题，不断完善教学设施，改善教学条件。</w:t>
      </w:r>
    </w:p>
    <w:p w:rsidR="00731F1B" w:rsidRDefault="00731F1B" w:rsidP="00731F1B">
      <w:pPr>
        <w:snapToGrid w:val="0"/>
        <w:spacing w:line="360" w:lineRule="auto"/>
        <w:ind w:firstLineChars="200" w:firstLine="480"/>
        <w:rPr>
          <w:rFonts w:ascii="仿宋" w:eastAsia="仿宋" w:hAnsi="仿宋" w:cs="宋体"/>
          <w:bCs/>
          <w:color w:val="333333"/>
          <w:kern w:val="0"/>
          <w:sz w:val="24"/>
          <w:szCs w:val="24"/>
        </w:rPr>
      </w:pPr>
    </w:p>
    <w:p w:rsidR="00731F1B" w:rsidRDefault="00731F1B" w:rsidP="00731F1B">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483BFE">
        <w:rPr>
          <w:rFonts w:ascii="仿宋" w:eastAsia="仿宋" w:hAnsi="仿宋" w:hint="eastAsia"/>
          <w:b/>
          <w:bCs/>
          <w:color w:val="333333"/>
          <w:sz w:val="24"/>
          <w:szCs w:val="24"/>
        </w:rPr>
        <w:t>2018-2019学年秋学期期初教学督学检查和评价情况通报</w:t>
      </w:r>
    </w:p>
    <w:p w:rsidR="00731F1B" w:rsidRPr="00483BFE" w:rsidRDefault="00731F1B" w:rsidP="00731F1B">
      <w:pPr>
        <w:snapToGrid w:val="0"/>
        <w:spacing w:line="360" w:lineRule="auto"/>
        <w:ind w:firstLineChars="200" w:firstLine="480"/>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根据学校安排，督学于学期初深入课堂，以听课方式对134名教师的教学、学生学习和教学管理等情况进行了检查和评价。 </w:t>
      </w:r>
    </w:p>
    <w:p w:rsidR="00731F1B" w:rsidRDefault="00731F1B" w:rsidP="00731F1B">
      <w:pPr>
        <w:snapToGrid w:val="0"/>
        <w:spacing w:line="360" w:lineRule="auto"/>
        <w:ind w:firstLineChars="200" w:firstLine="480"/>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检查和评价结果显示，我校开学初课堂教学整体状况良好，任课教师能按时到岗，精神饱满，教学准备充分，教学组织较好,能够按教学进度正常授课，学生出勤率较高。在听课过程中，督学也发现了一些问题，如：少量学生课上玩手机、睡觉，个别学生随意出入教室，个别班级存在缺勤现象，针对上述问题，督学提出了改进建议。同时，督学重点针对教学设施维护、教材供应等问题，以提案方式提出了建设性改进意见，并得到了相关部门的及时答复和处理。</w:t>
      </w:r>
      <w:bookmarkStart w:id="0" w:name="_GoBack"/>
      <w:bookmarkEnd w:id="0"/>
      <w:r w:rsidRPr="00483BFE">
        <w:rPr>
          <w:rFonts w:ascii="仿宋" w:eastAsia="仿宋" w:hAnsi="仿宋" w:cs="宋体" w:hint="eastAsia"/>
          <w:bCs/>
          <w:color w:val="333333"/>
          <w:kern w:val="0"/>
          <w:sz w:val="24"/>
          <w:szCs w:val="24"/>
        </w:rPr>
        <w:t xml:space="preserve"> </w:t>
      </w:r>
    </w:p>
    <w:p w:rsidR="00731F1B" w:rsidRPr="00483BFE" w:rsidRDefault="00731F1B" w:rsidP="00731F1B">
      <w:pPr>
        <w:snapToGrid w:val="0"/>
        <w:spacing w:line="360" w:lineRule="auto"/>
        <w:ind w:firstLineChars="200" w:firstLine="480"/>
        <w:rPr>
          <w:rFonts w:ascii="仿宋" w:eastAsia="仿宋" w:hAnsi="仿宋" w:cs="宋体"/>
          <w:bCs/>
          <w:color w:val="333333"/>
          <w:kern w:val="0"/>
          <w:sz w:val="24"/>
          <w:szCs w:val="24"/>
        </w:rPr>
      </w:pPr>
    </w:p>
    <w:sectPr w:rsidR="00731F1B" w:rsidRPr="00483BFE" w:rsidSect="003527BB">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E9" w:rsidRDefault="001B29E9" w:rsidP="00F969FB">
      <w:r>
        <w:separator/>
      </w:r>
    </w:p>
  </w:endnote>
  <w:endnote w:type="continuationSeparator" w:id="0">
    <w:p w:rsidR="001B29E9" w:rsidRDefault="001B29E9" w:rsidP="00F96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87630"/>
      <w:docPartObj>
        <w:docPartGallery w:val="Page Numbers (Bottom of Page)"/>
        <w:docPartUnique/>
      </w:docPartObj>
    </w:sdtPr>
    <w:sdtContent>
      <w:p w:rsidR="00C2150C" w:rsidRDefault="00F969FB">
        <w:pPr>
          <w:pStyle w:val="a4"/>
          <w:jc w:val="center"/>
        </w:pPr>
        <w:r>
          <w:fldChar w:fldCharType="begin"/>
        </w:r>
        <w:r w:rsidR="00731F1B">
          <w:instrText xml:space="preserve"> PAGE   \* MERGEFORMAT </w:instrText>
        </w:r>
        <w:r>
          <w:fldChar w:fldCharType="separate"/>
        </w:r>
        <w:r w:rsidR="00790F6E" w:rsidRPr="00790F6E">
          <w:rPr>
            <w:noProof/>
            <w:lang w:val="zh-CN"/>
          </w:rPr>
          <w:t>1</w:t>
        </w:r>
        <w:r>
          <w:fldChar w:fldCharType="end"/>
        </w:r>
      </w:p>
    </w:sdtContent>
  </w:sdt>
  <w:p w:rsidR="00C2150C" w:rsidRDefault="001B29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E9" w:rsidRDefault="001B29E9" w:rsidP="00F969FB">
      <w:r>
        <w:separator/>
      </w:r>
    </w:p>
  </w:footnote>
  <w:footnote w:type="continuationSeparator" w:id="0">
    <w:p w:rsidR="001B29E9" w:rsidRDefault="001B29E9" w:rsidP="00F96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0C" w:rsidRDefault="001B29E9" w:rsidP="00A452B6">
    <w:pPr>
      <w:pStyle w:val="a3"/>
      <w:pBdr>
        <w:bottom w:val="none" w:sz="0" w:space="0" w:color="auto"/>
      </w:pBdr>
    </w:pPr>
  </w:p>
  <w:p w:rsidR="00B70501" w:rsidRDefault="001B29E9" w:rsidP="00A452B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F1B"/>
    <w:rsid w:val="001B29E9"/>
    <w:rsid w:val="00213665"/>
    <w:rsid w:val="0026697F"/>
    <w:rsid w:val="003445AC"/>
    <w:rsid w:val="003E515C"/>
    <w:rsid w:val="006402D3"/>
    <w:rsid w:val="00731F1B"/>
    <w:rsid w:val="00790F6E"/>
    <w:rsid w:val="00AC1E88"/>
    <w:rsid w:val="00C12C14"/>
    <w:rsid w:val="00C27294"/>
    <w:rsid w:val="00E6406D"/>
    <w:rsid w:val="00F96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1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1F1B"/>
    <w:rPr>
      <w:sz w:val="18"/>
      <w:szCs w:val="18"/>
    </w:rPr>
  </w:style>
  <w:style w:type="paragraph" w:styleId="a4">
    <w:name w:val="footer"/>
    <w:basedOn w:val="a"/>
    <w:link w:val="Char0"/>
    <w:uiPriority w:val="99"/>
    <w:unhideWhenUsed/>
    <w:rsid w:val="00731F1B"/>
    <w:pPr>
      <w:tabs>
        <w:tab w:val="center" w:pos="4153"/>
        <w:tab w:val="right" w:pos="8306"/>
      </w:tabs>
      <w:snapToGrid w:val="0"/>
      <w:jc w:val="left"/>
    </w:pPr>
    <w:rPr>
      <w:sz w:val="18"/>
      <w:szCs w:val="18"/>
    </w:rPr>
  </w:style>
  <w:style w:type="character" w:customStyle="1" w:styleId="Char0">
    <w:name w:val="页脚 Char"/>
    <w:basedOn w:val="a0"/>
    <w:link w:val="a4"/>
    <w:uiPriority w:val="99"/>
    <w:rsid w:val="00731F1B"/>
    <w:rPr>
      <w:sz w:val="18"/>
      <w:szCs w:val="18"/>
    </w:rPr>
  </w:style>
  <w:style w:type="paragraph" w:styleId="a5">
    <w:name w:val="Balloon Text"/>
    <w:basedOn w:val="a"/>
    <w:link w:val="Char1"/>
    <w:uiPriority w:val="99"/>
    <w:semiHidden/>
    <w:unhideWhenUsed/>
    <w:rsid w:val="00731F1B"/>
    <w:rPr>
      <w:sz w:val="18"/>
      <w:szCs w:val="18"/>
    </w:rPr>
  </w:style>
  <w:style w:type="character" w:customStyle="1" w:styleId="Char1">
    <w:name w:val="批注框文本 Char"/>
    <w:basedOn w:val="a0"/>
    <w:link w:val="a5"/>
    <w:uiPriority w:val="99"/>
    <w:semiHidden/>
    <w:rsid w:val="00731F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718&#38498;&#357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8"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9"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23398;&#24180;&#21512;&#26684;&#35780;&#20215;&#38498;&#35780;&#25104;&#324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26149;&#23398;&#26399;&#21512;&#26684;\&#26149;&#23398;&#26399;&#21512;&#26684;&#35780;&#20215;&#33258;&#35780;&#25104;&#324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23398;&#24180;&#21512;&#26684;&#35780;&#20215;&#23398;&#29983;&#35780;&#25945;&#25104;&#324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pivotSource>
    <c:name>[718优.xlsx]Sheet6!数据透视表6</c:name>
    <c:fmtId val="-1"/>
  </c:pivotSource>
  <c:chart>
    <c:title>
      <c:tx>
        <c:rich>
          <a:bodyPr/>
          <a:lstStyle/>
          <a:p>
            <a:pPr>
              <a:defRPr/>
            </a:pPr>
            <a:r>
              <a:rPr lang="zh-CN" altLang="en-US" sz="1200"/>
              <a:t>教师课程教学质量优秀评价学校评价成绩分布图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Sheet6!$B$3</c:f>
              <c:strCache>
                <c:ptCount val="1"/>
                <c:pt idx="0">
                  <c:v>汇总</c:v>
                </c:pt>
              </c:strCache>
            </c:strRef>
          </c:tx>
          <c:dLbls>
            <c:txPr>
              <a:bodyPr/>
              <a:lstStyle/>
              <a:p>
                <a:pPr>
                  <a:defRPr/>
                </a:pPr>
                <a:endParaRPr lang="zh-CN"/>
              </a:p>
            </c:txPr>
            <c:showVal val="1"/>
          </c:dLbls>
          <c:cat>
            <c:strRef>
              <c:f>Sheet6!$A$4:$A$35</c:f>
              <c:strCache>
                <c:ptCount val="31"/>
                <c:pt idx="0">
                  <c:v>76.7 </c:v>
                </c:pt>
                <c:pt idx="1">
                  <c:v>83.0 </c:v>
                </c:pt>
                <c:pt idx="2">
                  <c:v>83.3 </c:v>
                </c:pt>
                <c:pt idx="3">
                  <c:v>83.7 </c:v>
                </c:pt>
                <c:pt idx="4">
                  <c:v>85.3 </c:v>
                </c:pt>
                <c:pt idx="5">
                  <c:v>86.0 </c:v>
                </c:pt>
                <c:pt idx="6">
                  <c:v>87.3 </c:v>
                </c:pt>
                <c:pt idx="7">
                  <c:v>87.7 </c:v>
                </c:pt>
                <c:pt idx="8">
                  <c:v>88.7 </c:v>
                </c:pt>
                <c:pt idx="9">
                  <c:v>90.0 </c:v>
                </c:pt>
                <c:pt idx="10">
                  <c:v>90.3 </c:v>
                </c:pt>
                <c:pt idx="11">
                  <c:v>90.7 </c:v>
                </c:pt>
                <c:pt idx="12">
                  <c:v>91.0 </c:v>
                </c:pt>
                <c:pt idx="13">
                  <c:v>91.3 </c:v>
                </c:pt>
                <c:pt idx="14">
                  <c:v>91.7 </c:v>
                </c:pt>
                <c:pt idx="15">
                  <c:v>92.0 </c:v>
                </c:pt>
                <c:pt idx="16">
                  <c:v>92.3 </c:v>
                </c:pt>
                <c:pt idx="17">
                  <c:v>92.7 </c:v>
                </c:pt>
                <c:pt idx="18">
                  <c:v>93.0 </c:v>
                </c:pt>
                <c:pt idx="19">
                  <c:v>93.3 </c:v>
                </c:pt>
                <c:pt idx="20">
                  <c:v>93.7 </c:v>
                </c:pt>
                <c:pt idx="21">
                  <c:v>94.0 </c:v>
                </c:pt>
                <c:pt idx="22">
                  <c:v>94.3 </c:v>
                </c:pt>
                <c:pt idx="23">
                  <c:v>94.7 </c:v>
                </c:pt>
                <c:pt idx="24">
                  <c:v>95.0 </c:v>
                </c:pt>
                <c:pt idx="25">
                  <c:v>95.3 </c:v>
                </c:pt>
                <c:pt idx="26">
                  <c:v>95.7 </c:v>
                </c:pt>
                <c:pt idx="27">
                  <c:v>96.0 </c:v>
                </c:pt>
                <c:pt idx="28">
                  <c:v>96.3 </c:v>
                </c:pt>
                <c:pt idx="29">
                  <c:v>97.3 </c:v>
                </c:pt>
                <c:pt idx="30">
                  <c:v>97.7 </c:v>
                </c:pt>
              </c:strCache>
            </c:strRef>
          </c:cat>
          <c:val>
            <c:numRef>
              <c:f>Sheet6!$B$4:$B$35</c:f>
              <c:numCache>
                <c:formatCode>General</c:formatCode>
                <c:ptCount val="31"/>
                <c:pt idx="0">
                  <c:v>1</c:v>
                </c:pt>
                <c:pt idx="1">
                  <c:v>1</c:v>
                </c:pt>
                <c:pt idx="2">
                  <c:v>1</c:v>
                </c:pt>
                <c:pt idx="3">
                  <c:v>1</c:v>
                </c:pt>
                <c:pt idx="4">
                  <c:v>1</c:v>
                </c:pt>
                <c:pt idx="5">
                  <c:v>1</c:v>
                </c:pt>
                <c:pt idx="6">
                  <c:v>2</c:v>
                </c:pt>
                <c:pt idx="7">
                  <c:v>1</c:v>
                </c:pt>
                <c:pt idx="8">
                  <c:v>1</c:v>
                </c:pt>
                <c:pt idx="9">
                  <c:v>9</c:v>
                </c:pt>
                <c:pt idx="10">
                  <c:v>9</c:v>
                </c:pt>
                <c:pt idx="11">
                  <c:v>5</c:v>
                </c:pt>
                <c:pt idx="12">
                  <c:v>11</c:v>
                </c:pt>
                <c:pt idx="13">
                  <c:v>7</c:v>
                </c:pt>
                <c:pt idx="14">
                  <c:v>6</c:v>
                </c:pt>
                <c:pt idx="15">
                  <c:v>8</c:v>
                </c:pt>
                <c:pt idx="16">
                  <c:v>11</c:v>
                </c:pt>
                <c:pt idx="17">
                  <c:v>12</c:v>
                </c:pt>
                <c:pt idx="18">
                  <c:v>8</c:v>
                </c:pt>
                <c:pt idx="19">
                  <c:v>14</c:v>
                </c:pt>
                <c:pt idx="20">
                  <c:v>8</c:v>
                </c:pt>
                <c:pt idx="21">
                  <c:v>10</c:v>
                </c:pt>
                <c:pt idx="22">
                  <c:v>12</c:v>
                </c:pt>
                <c:pt idx="23">
                  <c:v>8</c:v>
                </c:pt>
                <c:pt idx="24">
                  <c:v>9</c:v>
                </c:pt>
                <c:pt idx="25">
                  <c:v>3</c:v>
                </c:pt>
                <c:pt idx="26">
                  <c:v>6</c:v>
                </c:pt>
                <c:pt idx="27">
                  <c:v>2</c:v>
                </c:pt>
                <c:pt idx="28">
                  <c:v>5</c:v>
                </c:pt>
                <c:pt idx="29">
                  <c:v>1</c:v>
                </c:pt>
                <c:pt idx="30">
                  <c:v>1</c:v>
                </c:pt>
              </c:numCache>
            </c:numRef>
          </c:val>
        </c:ser>
        <c:axId val="116984832"/>
        <c:axId val="116986624"/>
      </c:barChart>
      <c:catAx>
        <c:axId val="116984832"/>
        <c:scaling>
          <c:orientation val="minMax"/>
        </c:scaling>
        <c:axPos val="b"/>
        <c:tickLblPos val="nextTo"/>
        <c:txPr>
          <a:bodyPr/>
          <a:lstStyle/>
          <a:p>
            <a:pPr>
              <a:defRPr sz="700" baseline="0"/>
            </a:pPr>
            <a:endParaRPr lang="zh-CN"/>
          </a:p>
        </c:txPr>
        <c:crossAx val="116986624"/>
        <c:crosses val="autoZero"/>
        <c:auto val="1"/>
        <c:lblAlgn val="ctr"/>
        <c:lblOffset val="100"/>
      </c:catAx>
      <c:valAx>
        <c:axId val="116986624"/>
        <c:scaling>
          <c:orientation val="minMax"/>
        </c:scaling>
        <c:axPos val="l"/>
        <c:majorGridlines/>
        <c:numFmt formatCode="General" sourceLinked="1"/>
        <c:tickLblPos val="nextTo"/>
        <c:crossAx val="1169848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pivotSource>
    <c:name>[718院评.xlsx]Sheet11!数据透视表14</c:name>
    <c:fmtId val="-1"/>
  </c:pivotSource>
  <c:chart>
    <c:title>
      <c:tx>
        <c:rich>
          <a:bodyPr/>
          <a:lstStyle/>
          <a:p>
            <a:pPr>
              <a:defRPr/>
            </a:pPr>
            <a:r>
              <a:rPr lang="zh-CN" altLang="en-US" sz="1200"/>
              <a:t>教师课程教学质量优秀评价学院评价成绩分布图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Sheet11!$B$3</c:f>
              <c:strCache>
                <c:ptCount val="1"/>
                <c:pt idx="0">
                  <c:v>汇总</c:v>
                </c:pt>
              </c:strCache>
            </c:strRef>
          </c:tx>
          <c:dLbls>
            <c:txPr>
              <a:bodyPr/>
              <a:lstStyle/>
              <a:p>
                <a:pPr>
                  <a:defRPr/>
                </a:pPr>
                <a:endParaRPr lang="zh-CN"/>
              </a:p>
            </c:txPr>
            <c:showVal val="1"/>
          </c:dLbls>
          <c:cat>
            <c:strRef>
              <c:f>Sheet11!$A$4:$A$12</c:f>
              <c:strCache>
                <c:ptCount val="8"/>
                <c:pt idx="0">
                  <c:v>80分以下</c:v>
                </c:pt>
                <c:pt idx="1">
                  <c:v>80.1-85.0</c:v>
                </c:pt>
                <c:pt idx="2">
                  <c:v>85.1-90.0</c:v>
                </c:pt>
                <c:pt idx="3">
                  <c:v>90.1-92.0</c:v>
                </c:pt>
                <c:pt idx="4">
                  <c:v>92.1-94.0</c:v>
                </c:pt>
                <c:pt idx="5">
                  <c:v>94.1-96.0</c:v>
                </c:pt>
                <c:pt idx="6">
                  <c:v>96.1-98.0</c:v>
                </c:pt>
                <c:pt idx="7">
                  <c:v>99.0-100</c:v>
                </c:pt>
              </c:strCache>
            </c:strRef>
          </c:cat>
          <c:val>
            <c:numRef>
              <c:f>Sheet11!$B$4:$B$12</c:f>
              <c:numCache>
                <c:formatCode>General</c:formatCode>
                <c:ptCount val="8"/>
                <c:pt idx="0">
                  <c:v>1</c:v>
                </c:pt>
                <c:pt idx="1">
                  <c:v>1</c:v>
                </c:pt>
                <c:pt idx="2">
                  <c:v>1</c:v>
                </c:pt>
                <c:pt idx="3">
                  <c:v>17</c:v>
                </c:pt>
                <c:pt idx="4">
                  <c:v>64</c:v>
                </c:pt>
                <c:pt idx="5">
                  <c:v>63</c:v>
                </c:pt>
                <c:pt idx="6">
                  <c:v>27</c:v>
                </c:pt>
                <c:pt idx="7">
                  <c:v>1</c:v>
                </c:pt>
              </c:numCache>
            </c:numRef>
          </c:val>
        </c:ser>
        <c:axId val="181781248"/>
        <c:axId val="181782784"/>
      </c:barChart>
      <c:catAx>
        <c:axId val="181781248"/>
        <c:scaling>
          <c:orientation val="minMax"/>
        </c:scaling>
        <c:axPos val="b"/>
        <c:tickLblPos val="nextTo"/>
        <c:txPr>
          <a:bodyPr/>
          <a:lstStyle/>
          <a:p>
            <a:pPr>
              <a:defRPr sz="800" baseline="0"/>
            </a:pPr>
            <a:endParaRPr lang="zh-CN"/>
          </a:p>
        </c:txPr>
        <c:crossAx val="181782784"/>
        <c:crosses val="autoZero"/>
        <c:auto val="1"/>
        <c:lblAlgn val="ctr"/>
        <c:lblOffset val="100"/>
      </c:catAx>
      <c:valAx>
        <c:axId val="181782784"/>
        <c:scaling>
          <c:orientation val="minMax"/>
        </c:scaling>
        <c:axPos val="l"/>
        <c:majorGridlines/>
        <c:numFmt formatCode="General" sourceLinked="1"/>
        <c:tickLblPos val="nextTo"/>
        <c:crossAx val="1817812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pivotSource>
    <c:name>[Book8]Sheet4!数据透视表18</c:name>
    <c:fmtId val="-1"/>
  </c:pivotSource>
  <c:chart>
    <c:title>
      <c:tx>
        <c:rich>
          <a:bodyPr/>
          <a:lstStyle/>
          <a:p>
            <a:pPr>
              <a:defRPr/>
            </a:pPr>
            <a:r>
              <a:rPr lang="zh-CN" altLang="en-US" sz="1200"/>
              <a:t>教师课程教学质量优秀评价教师自评成绩分布图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Sheet4!$B$3</c:f>
              <c:strCache>
                <c:ptCount val="1"/>
                <c:pt idx="0">
                  <c:v>汇总</c:v>
                </c:pt>
              </c:strCache>
            </c:strRef>
          </c:tx>
          <c:dLbls>
            <c:txPr>
              <a:bodyPr/>
              <a:lstStyle/>
              <a:p>
                <a:pPr>
                  <a:defRPr/>
                </a:pPr>
                <a:endParaRPr lang="zh-CN"/>
              </a:p>
            </c:txPr>
            <c:showVal val="1"/>
          </c:dLbls>
          <c:cat>
            <c:strRef>
              <c:f>Sheet4!$A$4:$A$17</c:f>
              <c:strCache>
                <c:ptCount val="13"/>
                <c:pt idx="0">
                  <c:v>90.0 </c:v>
                </c:pt>
                <c:pt idx="1">
                  <c:v>91.0 </c:v>
                </c:pt>
                <c:pt idx="2">
                  <c:v>92.0 </c:v>
                </c:pt>
                <c:pt idx="3">
                  <c:v>93.0 </c:v>
                </c:pt>
                <c:pt idx="4">
                  <c:v>94.0 </c:v>
                </c:pt>
                <c:pt idx="5">
                  <c:v>95.0 </c:v>
                </c:pt>
                <c:pt idx="6">
                  <c:v>96.0 </c:v>
                </c:pt>
                <c:pt idx="7">
                  <c:v>97.0 </c:v>
                </c:pt>
                <c:pt idx="8">
                  <c:v>98.0 </c:v>
                </c:pt>
                <c:pt idx="9">
                  <c:v>99.0 </c:v>
                </c:pt>
                <c:pt idx="10">
                  <c:v>99.8 </c:v>
                </c:pt>
                <c:pt idx="11">
                  <c:v>99.8 </c:v>
                </c:pt>
                <c:pt idx="12">
                  <c:v>100.0 </c:v>
                </c:pt>
              </c:strCache>
            </c:strRef>
          </c:cat>
          <c:val>
            <c:numRef>
              <c:f>Sheet4!$B$4:$B$17</c:f>
              <c:numCache>
                <c:formatCode>General</c:formatCode>
                <c:ptCount val="13"/>
                <c:pt idx="0">
                  <c:v>1</c:v>
                </c:pt>
                <c:pt idx="1">
                  <c:v>1</c:v>
                </c:pt>
                <c:pt idx="2">
                  <c:v>2</c:v>
                </c:pt>
                <c:pt idx="3">
                  <c:v>4</c:v>
                </c:pt>
                <c:pt idx="4">
                  <c:v>8</c:v>
                </c:pt>
                <c:pt idx="5">
                  <c:v>19</c:v>
                </c:pt>
                <c:pt idx="6">
                  <c:v>9</c:v>
                </c:pt>
                <c:pt idx="7">
                  <c:v>15</c:v>
                </c:pt>
                <c:pt idx="8">
                  <c:v>5</c:v>
                </c:pt>
                <c:pt idx="9">
                  <c:v>16</c:v>
                </c:pt>
                <c:pt idx="10">
                  <c:v>1</c:v>
                </c:pt>
                <c:pt idx="11">
                  <c:v>1</c:v>
                </c:pt>
                <c:pt idx="12">
                  <c:v>1</c:v>
                </c:pt>
              </c:numCache>
            </c:numRef>
          </c:val>
        </c:ser>
        <c:axId val="202197632"/>
        <c:axId val="117186944"/>
      </c:barChart>
      <c:catAx>
        <c:axId val="202197632"/>
        <c:scaling>
          <c:orientation val="minMax"/>
        </c:scaling>
        <c:axPos val="b"/>
        <c:tickLblPos val="nextTo"/>
        <c:crossAx val="117186944"/>
        <c:crosses val="autoZero"/>
        <c:auto val="1"/>
        <c:lblAlgn val="ctr"/>
        <c:lblOffset val="100"/>
      </c:catAx>
      <c:valAx>
        <c:axId val="117186944"/>
        <c:scaling>
          <c:orientation val="minMax"/>
        </c:scaling>
        <c:axPos val="l"/>
        <c:majorGridlines/>
        <c:numFmt formatCode="General" sourceLinked="1"/>
        <c:tickLblPos val="nextTo"/>
        <c:crossAx val="20219763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1988407699037624E-2"/>
          <c:y val="0.18103018372703641"/>
          <c:w val="0.89745603674540686"/>
          <c:h val="0.58553368328958877"/>
        </c:manualLayout>
      </c:layout>
      <c:barChart>
        <c:barDir val="col"/>
        <c:grouping val="clustered"/>
        <c:ser>
          <c:idx val="0"/>
          <c:order val="0"/>
          <c:dLbls>
            <c:showVal val="1"/>
          </c:dLbls>
          <c:cat>
            <c:strRef>
              <c:f>Sheet4!$C$4:$C$14</c:f>
              <c:strCache>
                <c:ptCount val="11"/>
                <c:pt idx="0">
                  <c:v>90分以下</c:v>
                </c:pt>
                <c:pt idx="1">
                  <c:v>90.1-91.0</c:v>
                </c:pt>
                <c:pt idx="2">
                  <c:v>91.1-92.0</c:v>
                </c:pt>
                <c:pt idx="3">
                  <c:v>92.1-93.0</c:v>
                </c:pt>
                <c:pt idx="4">
                  <c:v>93.1-94.0</c:v>
                </c:pt>
                <c:pt idx="5">
                  <c:v>94.1-95.0</c:v>
                </c:pt>
                <c:pt idx="6">
                  <c:v>95.1-96.0</c:v>
                </c:pt>
                <c:pt idx="7">
                  <c:v>96.1-97.0</c:v>
                </c:pt>
                <c:pt idx="8">
                  <c:v>97.1-98.0</c:v>
                </c:pt>
                <c:pt idx="9">
                  <c:v>98.1-99.0</c:v>
                </c:pt>
                <c:pt idx="10">
                  <c:v>99.1以上</c:v>
                </c:pt>
              </c:strCache>
            </c:strRef>
          </c:cat>
          <c:val>
            <c:numRef>
              <c:f>Sheet4!$D$4:$D$14</c:f>
              <c:numCache>
                <c:formatCode>General</c:formatCode>
                <c:ptCount val="11"/>
                <c:pt idx="0">
                  <c:v>1</c:v>
                </c:pt>
                <c:pt idx="1">
                  <c:v>2</c:v>
                </c:pt>
                <c:pt idx="2">
                  <c:v>3</c:v>
                </c:pt>
                <c:pt idx="3">
                  <c:v>6</c:v>
                </c:pt>
                <c:pt idx="4">
                  <c:v>8</c:v>
                </c:pt>
                <c:pt idx="5">
                  <c:v>21</c:v>
                </c:pt>
                <c:pt idx="6">
                  <c:v>19</c:v>
                </c:pt>
                <c:pt idx="7">
                  <c:v>30</c:v>
                </c:pt>
                <c:pt idx="8">
                  <c:v>35</c:v>
                </c:pt>
                <c:pt idx="9">
                  <c:v>38</c:v>
                </c:pt>
                <c:pt idx="10">
                  <c:v>12</c:v>
                </c:pt>
              </c:numCache>
            </c:numRef>
          </c:val>
        </c:ser>
        <c:ser>
          <c:idx val="1"/>
          <c:order val="1"/>
          <c:tx>
            <c:v>教学质量 </c:v>
          </c:tx>
          <c:val>
            <c:numLit>
              <c:formatCode>General</c:formatCode>
              <c:ptCount val="1"/>
              <c:pt idx="0">
                <c:v>1</c:v>
              </c:pt>
            </c:numLit>
          </c:val>
        </c:ser>
        <c:axId val="117206400"/>
        <c:axId val="117212288"/>
      </c:barChart>
      <c:catAx>
        <c:axId val="117206400"/>
        <c:scaling>
          <c:orientation val="minMax"/>
        </c:scaling>
        <c:axPos val="b"/>
        <c:tickLblPos val="nextTo"/>
        <c:crossAx val="117212288"/>
        <c:crosses val="autoZero"/>
        <c:auto val="1"/>
        <c:lblAlgn val="ctr"/>
        <c:lblOffset val="100"/>
      </c:catAx>
      <c:valAx>
        <c:axId val="117212288"/>
        <c:scaling>
          <c:orientation val="minMax"/>
        </c:scaling>
        <c:axPos val="l"/>
        <c:majorGridlines/>
        <c:numFmt formatCode="General" sourceLinked="1"/>
        <c:tickLblPos val="nextTo"/>
        <c:crossAx val="117206400"/>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3233517581825452E-2"/>
          <c:y val="0.13911705918650041"/>
          <c:w val="0.9064132815351722"/>
          <c:h val="0.67819957544677933"/>
        </c:manualLayout>
      </c:layout>
      <c:barChart>
        <c:barDir val="col"/>
        <c:grouping val="clustered"/>
        <c:ser>
          <c:idx val="0"/>
          <c:order val="0"/>
          <c:dLbls>
            <c:showVal val="1"/>
          </c:dLbls>
          <c:cat>
            <c:strRef>
              <c:f>Sheet1!$D$1:$D$10</c:f>
              <c:strCache>
                <c:ptCount val="10"/>
                <c:pt idx="0">
                  <c:v>88.2</c:v>
                </c:pt>
                <c:pt idx="1">
                  <c:v>90.1-91.0</c:v>
                </c:pt>
                <c:pt idx="2">
                  <c:v>91.1-92.0</c:v>
                </c:pt>
                <c:pt idx="3">
                  <c:v>92.1-93.0</c:v>
                </c:pt>
                <c:pt idx="4">
                  <c:v>93.1-94.0</c:v>
                </c:pt>
                <c:pt idx="5">
                  <c:v>94.1-95.0</c:v>
                </c:pt>
                <c:pt idx="6">
                  <c:v>95.1-96.0</c:v>
                </c:pt>
                <c:pt idx="7">
                  <c:v>96.1-97.0</c:v>
                </c:pt>
                <c:pt idx="8">
                  <c:v>97.1-98.0</c:v>
                </c:pt>
                <c:pt idx="9">
                  <c:v>98.1-99.0</c:v>
                </c:pt>
              </c:strCache>
            </c:strRef>
          </c:cat>
          <c:val>
            <c:numRef>
              <c:f>Sheet1!$E$1:$E$10</c:f>
              <c:numCache>
                <c:formatCode>General</c:formatCode>
                <c:ptCount val="10"/>
                <c:pt idx="0">
                  <c:v>1</c:v>
                </c:pt>
                <c:pt idx="1">
                  <c:v>4</c:v>
                </c:pt>
                <c:pt idx="2">
                  <c:v>4</c:v>
                </c:pt>
                <c:pt idx="3">
                  <c:v>11</c:v>
                </c:pt>
                <c:pt idx="4">
                  <c:v>22</c:v>
                </c:pt>
                <c:pt idx="5">
                  <c:v>45</c:v>
                </c:pt>
                <c:pt idx="6">
                  <c:v>57</c:v>
                </c:pt>
                <c:pt idx="7">
                  <c:v>25</c:v>
                </c:pt>
                <c:pt idx="8">
                  <c:v>5</c:v>
                </c:pt>
                <c:pt idx="9">
                  <c:v>1</c:v>
                </c:pt>
              </c:numCache>
            </c:numRef>
          </c:val>
        </c:ser>
        <c:axId val="117245440"/>
        <c:axId val="117246976"/>
      </c:barChart>
      <c:catAx>
        <c:axId val="117245440"/>
        <c:scaling>
          <c:orientation val="minMax"/>
        </c:scaling>
        <c:axPos val="b"/>
        <c:tickLblPos val="nextTo"/>
        <c:txPr>
          <a:bodyPr/>
          <a:lstStyle/>
          <a:p>
            <a:pPr>
              <a:defRPr sz="850" baseline="0"/>
            </a:pPr>
            <a:endParaRPr lang="zh-CN"/>
          </a:p>
        </c:txPr>
        <c:crossAx val="117246976"/>
        <c:crosses val="autoZero"/>
        <c:auto val="1"/>
        <c:lblAlgn val="ctr"/>
        <c:lblOffset val="100"/>
      </c:catAx>
      <c:valAx>
        <c:axId val="117246976"/>
        <c:scaling>
          <c:orientation val="minMax"/>
        </c:scaling>
        <c:axPos val="l"/>
        <c:majorGridlines/>
        <c:numFmt formatCode="General" sourceLinked="1"/>
        <c:tickLblPos val="nextTo"/>
        <c:crossAx val="117245440"/>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pivotSource>
    <c:name>[学年合格评价院评成绩.xlsx]Sheet4!数据透视表6</c:name>
    <c:fmtId val="-1"/>
  </c:pivotSource>
  <c:chart>
    <c:title>
      <c:tx>
        <c:rich>
          <a:bodyPr/>
          <a:lstStyle/>
          <a:p>
            <a:pPr>
              <a:defRPr sz="1200"/>
            </a:pPr>
            <a:r>
              <a:rPr lang="zh-CN" altLang="en-US" sz="1200"/>
              <a:t>教师课程教学质量合格评价学院评价成绩分布图</a:t>
            </a:r>
          </a:p>
        </c:rich>
      </c:tx>
      <c:layout>
        <c:manualLayout>
          <c:xMode val="edge"/>
          <c:yMode val="edge"/>
          <c:x val="0.19013188976377937"/>
          <c:y val="1.3888888888889046E-2"/>
        </c:manualLayout>
      </c:layout>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Sheet4!$B$3</c:f>
              <c:strCache>
                <c:ptCount val="1"/>
                <c:pt idx="0">
                  <c:v>汇总</c:v>
                </c:pt>
              </c:strCache>
            </c:strRef>
          </c:tx>
          <c:dLbls>
            <c:txPr>
              <a:bodyPr/>
              <a:lstStyle/>
              <a:p>
                <a:pPr>
                  <a:defRPr/>
                </a:pPr>
                <a:endParaRPr lang="zh-CN"/>
              </a:p>
            </c:txPr>
            <c:showVal val="1"/>
          </c:dLbls>
          <c:cat>
            <c:strRef>
              <c:f>Sheet4!$A$4:$A$29</c:f>
              <c:strCache>
                <c:ptCount val="25"/>
                <c:pt idx="0">
                  <c:v>78.7</c:v>
                </c:pt>
                <c:pt idx="1">
                  <c:v>83</c:v>
                </c:pt>
                <c:pt idx="2">
                  <c:v>84</c:v>
                </c:pt>
                <c:pt idx="3">
                  <c:v>86</c:v>
                </c:pt>
                <c:pt idx="4">
                  <c:v>86.1</c:v>
                </c:pt>
                <c:pt idx="5">
                  <c:v>87</c:v>
                </c:pt>
                <c:pt idx="6">
                  <c:v>88</c:v>
                </c:pt>
                <c:pt idx="7">
                  <c:v>89</c:v>
                </c:pt>
                <c:pt idx="8">
                  <c:v>89.3</c:v>
                </c:pt>
                <c:pt idx="9">
                  <c:v>90</c:v>
                </c:pt>
                <c:pt idx="10">
                  <c:v>90.3</c:v>
                </c:pt>
                <c:pt idx="11">
                  <c:v>91</c:v>
                </c:pt>
                <c:pt idx="12">
                  <c:v>92</c:v>
                </c:pt>
                <c:pt idx="13">
                  <c:v>92.25</c:v>
                </c:pt>
                <c:pt idx="14">
                  <c:v>92.3</c:v>
                </c:pt>
                <c:pt idx="15">
                  <c:v>93</c:v>
                </c:pt>
                <c:pt idx="16">
                  <c:v>93.7</c:v>
                </c:pt>
                <c:pt idx="17">
                  <c:v>94</c:v>
                </c:pt>
                <c:pt idx="18">
                  <c:v>94.7</c:v>
                </c:pt>
                <c:pt idx="19">
                  <c:v>95</c:v>
                </c:pt>
                <c:pt idx="20">
                  <c:v>96</c:v>
                </c:pt>
                <c:pt idx="21">
                  <c:v>96.7</c:v>
                </c:pt>
                <c:pt idx="22">
                  <c:v>97</c:v>
                </c:pt>
                <c:pt idx="23">
                  <c:v>98</c:v>
                </c:pt>
                <c:pt idx="24">
                  <c:v>99</c:v>
                </c:pt>
              </c:strCache>
            </c:strRef>
          </c:cat>
          <c:val>
            <c:numRef>
              <c:f>Sheet4!$B$4:$B$29</c:f>
              <c:numCache>
                <c:formatCode>General</c:formatCode>
                <c:ptCount val="25"/>
                <c:pt idx="0">
                  <c:v>1</c:v>
                </c:pt>
                <c:pt idx="1">
                  <c:v>1</c:v>
                </c:pt>
                <c:pt idx="2">
                  <c:v>1</c:v>
                </c:pt>
                <c:pt idx="3">
                  <c:v>2</c:v>
                </c:pt>
                <c:pt idx="4">
                  <c:v>1</c:v>
                </c:pt>
                <c:pt idx="5">
                  <c:v>1</c:v>
                </c:pt>
                <c:pt idx="6">
                  <c:v>3</c:v>
                </c:pt>
                <c:pt idx="7">
                  <c:v>5</c:v>
                </c:pt>
                <c:pt idx="8">
                  <c:v>1</c:v>
                </c:pt>
                <c:pt idx="9">
                  <c:v>9</c:v>
                </c:pt>
                <c:pt idx="10">
                  <c:v>2</c:v>
                </c:pt>
                <c:pt idx="11">
                  <c:v>4</c:v>
                </c:pt>
                <c:pt idx="12">
                  <c:v>6</c:v>
                </c:pt>
                <c:pt idx="13">
                  <c:v>1</c:v>
                </c:pt>
                <c:pt idx="14">
                  <c:v>2</c:v>
                </c:pt>
                <c:pt idx="15">
                  <c:v>4</c:v>
                </c:pt>
                <c:pt idx="16">
                  <c:v>2</c:v>
                </c:pt>
                <c:pt idx="17">
                  <c:v>4</c:v>
                </c:pt>
                <c:pt idx="18">
                  <c:v>1</c:v>
                </c:pt>
                <c:pt idx="19">
                  <c:v>2</c:v>
                </c:pt>
                <c:pt idx="20">
                  <c:v>3</c:v>
                </c:pt>
                <c:pt idx="21">
                  <c:v>1</c:v>
                </c:pt>
                <c:pt idx="22">
                  <c:v>1</c:v>
                </c:pt>
                <c:pt idx="23">
                  <c:v>1</c:v>
                </c:pt>
                <c:pt idx="24">
                  <c:v>2</c:v>
                </c:pt>
              </c:numCache>
            </c:numRef>
          </c:val>
        </c:ser>
        <c:axId val="117308416"/>
        <c:axId val="117052160"/>
      </c:barChart>
      <c:catAx>
        <c:axId val="117308416"/>
        <c:scaling>
          <c:orientation val="minMax"/>
        </c:scaling>
        <c:axPos val="b"/>
        <c:tickLblPos val="nextTo"/>
        <c:txPr>
          <a:bodyPr/>
          <a:lstStyle/>
          <a:p>
            <a:pPr>
              <a:defRPr sz="800" baseline="0"/>
            </a:pPr>
            <a:endParaRPr lang="zh-CN"/>
          </a:p>
        </c:txPr>
        <c:crossAx val="117052160"/>
        <c:crosses val="autoZero"/>
        <c:auto val="1"/>
        <c:lblAlgn val="ctr"/>
        <c:lblOffset val="100"/>
      </c:catAx>
      <c:valAx>
        <c:axId val="117052160"/>
        <c:scaling>
          <c:orientation val="minMax"/>
        </c:scaling>
        <c:axPos val="l"/>
        <c:majorGridlines/>
        <c:numFmt formatCode="General" sourceLinked="1"/>
        <c:tickLblPos val="nextTo"/>
        <c:crossAx val="11730841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pivotSource>
    <c:name>[春学期合格评价自评成绩.xlsx]Sheet4!数据透视表11</c:name>
    <c:fmtId val="-1"/>
  </c:pivotSource>
  <c:chart>
    <c:title>
      <c:tx>
        <c:rich>
          <a:bodyPr/>
          <a:lstStyle/>
          <a:p>
            <a:pPr>
              <a:defRPr sz="1200"/>
            </a:pPr>
            <a:r>
              <a:rPr lang="zh-CN" altLang="en-US" sz="1200"/>
              <a:t>教师课程教学质量合格评价教师自评成绩分布图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Sheet4!$B$3</c:f>
              <c:strCache>
                <c:ptCount val="1"/>
                <c:pt idx="0">
                  <c:v>汇总</c:v>
                </c:pt>
              </c:strCache>
            </c:strRef>
          </c:tx>
          <c:dLbls>
            <c:txPr>
              <a:bodyPr/>
              <a:lstStyle/>
              <a:p>
                <a:pPr>
                  <a:defRPr/>
                </a:pPr>
                <a:endParaRPr lang="zh-CN"/>
              </a:p>
            </c:txPr>
            <c:showVal val="1"/>
          </c:dLbls>
          <c:cat>
            <c:strRef>
              <c:f>Sheet4!$A$4:$A$17</c:f>
              <c:strCache>
                <c:ptCount val="13"/>
                <c:pt idx="0">
                  <c:v>80</c:v>
                </c:pt>
                <c:pt idx="1">
                  <c:v>85</c:v>
                </c:pt>
                <c:pt idx="2">
                  <c:v>87</c:v>
                </c:pt>
                <c:pt idx="3">
                  <c:v>88</c:v>
                </c:pt>
                <c:pt idx="4">
                  <c:v>90</c:v>
                </c:pt>
                <c:pt idx="5">
                  <c:v>92</c:v>
                </c:pt>
                <c:pt idx="6">
                  <c:v>93</c:v>
                </c:pt>
                <c:pt idx="7">
                  <c:v>94</c:v>
                </c:pt>
                <c:pt idx="8">
                  <c:v>95</c:v>
                </c:pt>
                <c:pt idx="9">
                  <c:v>96</c:v>
                </c:pt>
                <c:pt idx="10">
                  <c:v>97</c:v>
                </c:pt>
                <c:pt idx="11">
                  <c:v>98</c:v>
                </c:pt>
                <c:pt idx="12">
                  <c:v>99</c:v>
                </c:pt>
              </c:strCache>
            </c:strRef>
          </c:cat>
          <c:val>
            <c:numRef>
              <c:f>Sheet4!$B$4:$B$17</c:f>
              <c:numCache>
                <c:formatCode>General</c:formatCode>
                <c:ptCount val="13"/>
                <c:pt idx="0">
                  <c:v>1</c:v>
                </c:pt>
                <c:pt idx="1">
                  <c:v>2</c:v>
                </c:pt>
                <c:pt idx="2">
                  <c:v>2</c:v>
                </c:pt>
                <c:pt idx="3">
                  <c:v>1</c:v>
                </c:pt>
                <c:pt idx="4">
                  <c:v>6</c:v>
                </c:pt>
                <c:pt idx="5">
                  <c:v>5</c:v>
                </c:pt>
                <c:pt idx="6">
                  <c:v>5</c:v>
                </c:pt>
                <c:pt idx="7">
                  <c:v>4</c:v>
                </c:pt>
                <c:pt idx="8">
                  <c:v>5</c:v>
                </c:pt>
                <c:pt idx="9">
                  <c:v>1</c:v>
                </c:pt>
                <c:pt idx="10">
                  <c:v>1</c:v>
                </c:pt>
                <c:pt idx="11">
                  <c:v>2</c:v>
                </c:pt>
                <c:pt idx="12">
                  <c:v>1</c:v>
                </c:pt>
              </c:numCache>
            </c:numRef>
          </c:val>
        </c:ser>
        <c:axId val="117077120"/>
        <c:axId val="117078656"/>
      </c:barChart>
      <c:catAx>
        <c:axId val="117077120"/>
        <c:scaling>
          <c:orientation val="minMax"/>
        </c:scaling>
        <c:axPos val="b"/>
        <c:tickLblPos val="nextTo"/>
        <c:crossAx val="117078656"/>
        <c:crosses val="autoZero"/>
        <c:auto val="1"/>
        <c:lblAlgn val="ctr"/>
        <c:lblOffset val="100"/>
      </c:catAx>
      <c:valAx>
        <c:axId val="117078656"/>
        <c:scaling>
          <c:orientation val="minMax"/>
        </c:scaling>
        <c:axPos val="l"/>
        <c:majorGridlines/>
        <c:numFmt formatCode="General" sourceLinked="1"/>
        <c:tickLblPos val="nextTo"/>
        <c:crossAx val="11707712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200"/>
              <a:t>教师课程教学质量合格评价学生评教成绩分布图</a:t>
            </a:r>
          </a:p>
        </c:rich>
      </c:tx>
      <c:layout>
        <c:manualLayout>
          <c:xMode val="edge"/>
          <c:yMode val="edge"/>
          <c:x val="0.18179855643044843"/>
          <c:y val="5.5555555555555455E-2"/>
        </c:manualLayout>
      </c:layout>
    </c:title>
    <c:plotArea>
      <c:layout/>
      <c:barChart>
        <c:barDir val="col"/>
        <c:grouping val="clustered"/>
        <c:ser>
          <c:idx val="0"/>
          <c:order val="0"/>
          <c:tx>
            <c:strRef>
              <c:f>Sheet6!$E$2</c:f>
              <c:strCache>
                <c:ptCount val="1"/>
                <c:pt idx="0">
                  <c:v>人数</c:v>
                </c:pt>
              </c:strCache>
            </c:strRef>
          </c:tx>
          <c:dLbls>
            <c:showVal val="1"/>
          </c:dLbls>
          <c:cat>
            <c:strRef>
              <c:f>Sheet6!$D$3:$D$13</c:f>
              <c:strCache>
                <c:ptCount val="11"/>
                <c:pt idx="0">
                  <c:v>90分以下</c:v>
                </c:pt>
                <c:pt idx="1">
                  <c:v>90.1-91.0</c:v>
                </c:pt>
                <c:pt idx="2">
                  <c:v>91.1-92.0</c:v>
                </c:pt>
                <c:pt idx="3">
                  <c:v>92.1-93.0</c:v>
                </c:pt>
                <c:pt idx="4">
                  <c:v>93.1-94.0</c:v>
                </c:pt>
                <c:pt idx="5">
                  <c:v>94.1-95.0</c:v>
                </c:pt>
                <c:pt idx="6">
                  <c:v>95.1-96.0</c:v>
                </c:pt>
                <c:pt idx="7">
                  <c:v>96.1-97.0</c:v>
                </c:pt>
                <c:pt idx="8">
                  <c:v>97.1-98.0</c:v>
                </c:pt>
                <c:pt idx="9">
                  <c:v>98.1-99.0</c:v>
                </c:pt>
                <c:pt idx="10">
                  <c:v>99.1以上</c:v>
                </c:pt>
              </c:strCache>
            </c:strRef>
          </c:cat>
          <c:val>
            <c:numRef>
              <c:f>Sheet6!$E$3:$E$13</c:f>
              <c:numCache>
                <c:formatCode>General</c:formatCode>
                <c:ptCount val="11"/>
                <c:pt idx="0">
                  <c:v>1</c:v>
                </c:pt>
                <c:pt idx="1">
                  <c:v>0</c:v>
                </c:pt>
                <c:pt idx="2">
                  <c:v>0</c:v>
                </c:pt>
                <c:pt idx="3">
                  <c:v>1</c:v>
                </c:pt>
                <c:pt idx="4">
                  <c:v>2</c:v>
                </c:pt>
                <c:pt idx="5">
                  <c:v>1</c:v>
                </c:pt>
                <c:pt idx="6">
                  <c:v>9</c:v>
                </c:pt>
                <c:pt idx="7">
                  <c:v>17</c:v>
                </c:pt>
                <c:pt idx="8">
                  <c:v>18</c:v>
                </c:pt>
                <c:pt idx="9">
                  <c:v>8</c:v>
                </c:pt>
                <c:pt idx="10">
                  <c:v>4</c:v>
                </c:pt>
              </c:numCache>
            </c:numRef>
          </c:val>
        </c:ser>
        <c:axId val="117101696"/>
        <c:axId val="117103232"/>
      </c:barChart>
      <c:catAx>
        <c:axId val="117101696"/>
        <c:scaling>
          <c:orientation val="minMax"/>
        </c:scaling>
        <c:axPos val="b"/>
        <c:tickLblPos val="nextTo"/>
        <c:crossAx val="117103232"/>
        <c:crosses val="autoZero"/>
        <c:auto val="1"/>
        <c:lblAlgn val="ctr"/>
        <c:lblOffset val="100"/>
      </c:catAx>
      <c:valAx>
        <c:axId val="117103232"/>
        <c:scaling>
          <c:orientation val="minMax"/>
        </c:scaling>
        <c:axPos val="l"/>
        <c:majorGridlines/>
        <c:numFmt formatCode="General" sourceLinked="1"/>
        <c:tickLblPos val="nextTo"/>
        <c:crossAx val="11710169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pivotSource>
    <c:name>[Book2]Sheet12!数据透视表10</c:name>
    <c:fmtId val="-1"/>
  </c:pivotSource>
  <c:chart>
    <c:title>
      <c:tx>
        <c:rich>
          <a:bodyPr/>
          <a:lstStyle/>
          <a:p>
            <a:pPr>
              <a:defRPr/>
            </a:pPr>
            <a:r>
              <a:rPr lang="zh-CN" altLang="en-US" sz="1200"/>
              <a:t>教师课程教学质量督学常规评价成绩分布图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Sheet12!$B$3</c:f>
              <c:strCache>
                <c:ptCount val="1"/>
                <c:pt idx="0">
                  <c:v>汇总</c:v>
                </c:pt>
              </c:strCache>
            </c:strRef>
          </c:tx>
          <c:dLbls>
            <c:txPr>
              <a:bodyPr/>
              <a:lstStyle/>
              <a:p>
                <a:pPr>
                  <a:defRPr/>
                </a:pPr>
                <a:endParaRPr lang="zh-CN"/>
              </a:p>
            </c:txPr>
            <c:showVal val="1"/>
          </c:dLbls>
          <c:cat>
            <c:strRef>
              <c:f>Sheet12!$A$4:$A$30</c:f>
              <c:strCache>
                <c:ptCount val="26"/>
                <c:pt idx="0">
                  <c:v>70</c:v>
                </c:pt>
                <c:pt idx="1">
                  <c:v>71</c:v>
                </c:pt>
                <c:pt idx="2">
                  <c:v>72</c:v>
                </c:pt>
                <c:pt idx="3">
                  <c:v>76</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strCache>
            </c:strRef>
          </c:cat>
          <c:val>
            <c:numRef>
              <c:f>Sheet12!$B$4:$B$30</c:f>
              <c:numCache>
                <c:formatCode>General</c:formatCode>
                <c:ptCount val="26"/>
                <c:pt idx="0">
                  <c:v>1</c:v>
                </c:pt>
                <c:pt idx="1">
                  <c:v>1</c:v>
                </c:pt>
                <c:pt idx="2">
                  <c:v>2</c:v>
                </c:pt>
                <c:pt idx="3">
                  <c:v>2</c:v>
                </c:pt>
                <c:pt idx="4">
                  <c:v>3</c:v>
                </c:pt>
                <c:pt idx="5">
                  <c:v>1</c:v>
                </c:pt>
                <c:pt idx="6">
                  <c:v>2</c:v>
                </c:pt>
                <c:pt idx="7">
                  <c:v>1</c:v>
                </c:pt>
                <c:pt idx="8">
                  <c:v>1</c:v>
                </c:pt>
                <c:pt idx="9">
                  <c:v>1</c:v>
                </c:pt>
                <c:pt idx="10">
                  <c:v>2</c:v>
                </c:pt>
                <c:pt idx="11">
                  <c:v>11</c:v>
                </c:pt>
                <c:pt idx="12">
                  <c:v>6</c:v>
                </c:pt>
                <c:pt idx="13">
                  <c:v>8</c:v>
                </c:pt>
                <c:pt idx="14">
                  <c:v>13</c:v>
                </c:pt>
                <c:pt idx="15">
                  <c:v>20</c:v>
                </c:pt>
                <c:pt idx="16">
                  <c:v>55</c:v>
                </c:pt>
                <c:pt idx="17">
                  <c:v>53</c:v>
                </c:pt>
                <c:pt idx="18">
                  <c:v>54</c:v>
                </c:pt>
                <c:pt idx="19">
                  <c:v>50</c:v>
                </c:pt>
                <c:pt idx="20">
                  <c:v>54</c:v>
                </c:pt>
                <c:pt idx="21">
                  <c:v>59</c:v>
                </c:pt>
                <c:pt idx="22">
                  <c:v>52</c:v>
                </c:pt>
                <c:pt idx="23">
                  <c:v>32</c:v>
                </c:pt>
                <c:pt idx="24">
                  <c:v>18</c:v>
                </c:pt>
                <c:pt idx="25">
                  <c:v>6</c:v>
                </c:pt>
              </c:numCache>
            </c:numRef>
          </c:val>
        </c:ser>
        <c:axId val="117469568"/>
        <c:axId val="117471104"/>
      </c:barChart>
      <c:catAx>
        <c:axId val="117469568"/>
        <c:scaling>
          <c:orientation val="minMax"/>
        </c:scaling>
        <c:axPos val="b"/>
        <c:tickLblPos val="nextTo"/>
        <c:crossAx val="117471104"/>
        <c:crosses val="autoZero"/>
        <c:auto val="1"/>
        <c:lblAlgn val="ctr"/>
        <c:lblOffset val="100"/>
      </c:catAx>
      <c:valAx>
        <c:axId val="117471104"/>
        <c:scaling>
          <c:orientation val="minMax"/>
        </c:scaling>
        <c:axPos val="l"/>
        <c:majorGridlines/>
        <c:numFmt formatCode="General" sourceLinked="1"/>
        <c:tickLblPos val="nextTo"/>
        <c:crossAx val="117469568"/>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0.285</cdr:x>
      <cdr:y>0.04444</cdr:y>
    </cdr:from>
    <cdr:to>
      <cdr:x>0.78833</cdr:x>
      <cdr:y>0.125</cdr:y>
    </cdr:to>
    <cdr:sp macro="" textlink="">
      <cdr:nvSpPr>
        <cdr:cNvPr id="2" name="TextBox 1"/>
        <cdr:cNvSpPr txBox="1"/>
      </cdr:nvSpPr>
      <cdr:spPr>
        <a:xfrm xmlns:a="http://schemas.openxmlformats.org/drawingml/2006/main">
          <a:off x="1303020" y="121920"/>
          <a:ext cx="2301240" cy="2209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0.21833</cdr:x>
      <cdr:y>0.04722</cdr:y>
    </cdr:from>
    <cdr:to>
      <cdr:x>0.77833</cdr:x>
      <cdr:y>0.16667</cdr:y>
    </cdr:to>
    <cdr:sp macro="" textlink="">
      <cdr:nvSpPr>
        <cdr:cNvPr id="3" name="TextBox 2"/>
        <cdr:cNvSpPr txBox="1"/>
      </cdr:nvSpPr>
      <cdr:spPr>
        <a:xfrm xmlns:a="http://schemas.openxmlformats.org/drawingml/2006/main">
          <a:off x="998220" y="129540"/>
          <a:ext cx="2560320" cy="327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0.13417</cdr:x>
      <cdr:y>0.05556</cdr:y>
    </cdr:from>
    <cdr:to>
      <cdr:x>0.8975</cdr:x>
      <cdr:y>0.17778</cdr:y>
    </cdr:to>
    <cdr:sp macro="" textlink="">
      <cdr:nvSpPr>
        <cdr:cNvPr id="4" name="TextBox 3"/>
        <cdr:cNvSpPr txBox="1"/>
      </cdr:nvSpPr>
      <cdr:spPr>
        <a:xfrm xmlns:a="http://schemas.openxmlformats.org/drawingml/2006/main">
          <a:off x="613410" y="152412"/>
          <a:ext cx="3489960" cy="3352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200" b="1"/>
            <a:t>教师课程教学质量优秀评价学生评教成绩分布图</a:t>
          </a:r>
        </a:p>
      </cdr:txBody>
    </cdr:sp>
  </cdr:relSizeAnchor>
</c:userShapes>
</file>

<file path=word/drawings/drawing2.xml><?xml version="1.0" encoding="utf-8"?>
<c:userShapes xmlns:c="http://schemas.openxmlformats.org/drawingml/2006/chart">
  <cdr:relSizeAnchor xmlns:cdr="http://schemas.openxmlformats.org/drawingml/2006/chartDrawing">
    <cdr:from>
      <cdr:x>0.32119</cdr:x>
      <cdr:y>0.00458</cdr:y>
    </cdr:from>
    <cdr:to>
      <cdr:x>0.72351</cdr:x>
      <cdr:y>0.05492</cdr:y>
    </cdr:to>
    <cdr:sp macro="" textlink="">
      <cdr:nvSpPr>
        <cdr:cNvPr id="2" name="TextBox 1"/>
        <cdr:cNvSpPr txBox="1"/>
      </cdr:nvSpPr>
      <cdr:spPr>
        <a:xfrm xmlns:a="http://schemas.openxmlformats.org/drawingml/2006/main">
          <a:off x="1478280" y="15240"/>
          <a:ext cx="1851660" cy="167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0.15977</cdr:x>
      <cdr:y>0</cdr:y>
    </cdr:from>
    <cdr:to>
      <cdr:x>0.85844</cdr:x>
      <cdr:y>0.11474</cdr:y>
    </cdr:to>
    <cdr:sp macro="" textlink="">
      <cdr:nvSpPr>
        <cdr:cNvPr id="3" name="TextBox 2"/>
        <cdr:cNvSpPr txBox="1"/>
      </cdr:nvSpPr>
      <cdr:spPr>
        <a:xfrm xmlns:a="http://schemas.openxmlformats.org/drawingml/2006/main">
          <a:off x="735329" y="0"/>
          <a:ext cx="3215641" cy="3711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200" b="1">
              <a:solidFill>
                <a:schemeClr val="tx1"/>
              </a:solidFill>
            </a:rPr>
            <a:t>教师课程教学质量优秀评价综合成绩分布图</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2018-12-04T07:46:00Z</dcterms:created>
  <dcterms:modified xsi:type="dcterms:W3CDTF">2018-12-05T00:32:00Z</dcterms:modified>
</cp:coreProperties>
</file>