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179" w:rsidRPr="00CF54C0" w:rsidRDefault="00761179" w:rsidP="00761179">
      <w:pPr>
        <w:widowControl/>
        <w:shd w:val="clear" w:color="auto" w:fill="FFFFFF"/>
        <w:spacing w:before="100" w:beforeAutospacing="1" w:after="100" w:afterAutospacing="1" w:line="264" w:lineRule="atLeast"/>
        <w:jc w:val="center"/>
        <w:outlineLvl w:val="4"/>
        <w:rPr>
          <w:rFonts w:ascii="Arial" w:eastAsia="宋体" w:hAnsi="Arial" w:cs="Arial"/>
          <w:b/>
          <w:bCs/>
          <w:color w:val="333333"/>
          <w:kern w:val="0"/>
          <w:sz w:val="32"/>
          <w:szCs w:val="32"/>
        </w:rPr>
      </w:pPr>
      <w:r w:rsidRPr="00CF54C0">
        <w:rPr>
          <w:rFonts w:ascii="Arial" w:eastAsia="宋体" w:hAnsi="Arial" w:cs="Arial"/>
          <w:b/>
          <w:bCs/>
          <w:color w:val="333333"/>
          <w:kern w:val="0"/>
          <w:sz w:val="32"/>
          <w:szCs w:val="32"/>
        </w:rPr>
        <w:t>【评估简报】总第</w:t>
      </w:r>
      <w:r w:rsidRPr="00CF54C0">
        <w:rPr>
          <w:rFonts w:ascii="Arial" w:eastAsia="宋体" w:hAnsi="Arial" w:cs="Arial"/>
          <w:b/>
          <w:bCs/>
          <w:color w:val="333333"/>
          <w:kern w:val="0"/>
          <w:sz w:val="32"/>
          <w:szCs w:val="32"/>
        </w:rPr>
        <w:t>0</w:t>
      </w:r>
      <w:r>
        <w:rPr>
          <w:rFonts w:ascii="Arial" w:eastAsia="宋体" w:hAnsi="Arial" w:cs="Arial" w:hint="eastAsia"/>
          <w:b/>
          <w:bCs/>
          <w:color w:val="333333"/>
          <w:kern w:val="0"/>
          <w:sz w:val="32"/>
          <w:szCs w:val="32"/>
        </w:rPr>
        <w:t>21</w:t>
      </w:r>
      <w:r w:rsidRPr="00CF54C0">
        <w:rPr>
          <w:rFonts w:ascii="Arial" w:eastAsia="宋体" w:hAnsi="Arial" w:cs="Arial"/>
          <w:b/>
          <w:bCs/>
          <w:color w:val="333333"/>
          <w:kern w:val="0"/>
          <w:sz w:val="32"/>
          <w:szCs w:val="32"/>
        </w:rPr>
        <w:t>期</w:t>
      </w:r>
    </w:p>
    <w:p w:rsidR="00761179" w:rsidRPr="008E3275" w:rsidRDefault="00761179" w:rsidP="00761179">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72"/>
          <w:szCs w:val="72"/>
        </w:rPr>
        <w:t>河 北 大 学</w:t>
      </w:r>
    </w:p>
    <w:p w:rsidR="00761179" w:rsidRPr="008E3275" w:rsidRDefault="00761179" w:rsidP="00761179">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52"/>
          <w:szCs w:val="52"/>
        </w:rPr>
        <w:t>本科教学</w:t>
      </w:r>
      <w:r>
        <w:rPr>
          <w:rFonts w:ascii="仿宋" w:eastAsia="仿宋" w:hAnsi="仿宋" w:cs="宋体" w:hint="eastAsia"/>
          <w:b/>
          <w:bCs/>
          <w:color w:val="FF0000"/>
          <w:kern w:val="0"/>
          <w:sz w:val="52"/>
          <w:szCs w:val="52"/>
        </w:rPr>
        <w:t>工作审核</w:t>
      </w:r>
      <w:r w:rsidRPr="008E3275">
        <w:rPr>
          <w:rFonts w:ascii="仿宋" w:eastAsia="仿宋" w:hAnsi="仿宋" w:cs="Batang" w:hint="eastAsia"/>
          <w:b/>
          <w:bCs/>
          <w:color w:val="FF0000"/>
          <w:kern w:val="0"/>
          <w:sz w:val="52"/>
          <w:szCs w:val="52"/>
        </w:rPr>
        <w:t>评估简报</w:t>
      </w:r>
    </w:p>
    <w:p w:rsidR="00761179" w:rsidRPr="008E3275" w:rsidRDefault="00761179" w:rsidP="00761179">
      <w:pPr>
        <w:widowControl/>
        <w:shd w:val="clear" w:color="auto" w:fill="FFFFFF"/>
        <w:spacing w:before="120" w:line="320" w:lineRule="atLeast"/>
        <w:jc w:val="center"/>
        <w:rPr>
          <w:rFonts w:ascii="宋体" w:eastAsia="宋体" w:hAnsi="宋体" w:cs="宋体"/>
          <w:color w:val="333333"/>
          <w:kern w:val="0"/>
          <w:sz w:val="24"/>
          <w:szCs w:val="24"/>
        </w:rPr>
      </w:pPr>
      <w:r w:rsidRPr="008E3275">
        <w:rPr>
          <w:rFonts w:ascii="宋体" w:eastAsia="宋体" w:hAnsi="宋体" w:cs="宋体" w:hint="eastAsia"/>
          <w:color w:val="555555"/>
          <w:kern w:val="0"/>
          <w:sz w:val="24"/>
          <w:szCs w:val="24"/>
        </w:rPr>
        <w:t>教育教学质量评估</w:t>
      </w:r>
      <w:r>
        <w:rPr>
          <w:rFonts w:ascii="宋体" w:eastAsia="宋体" w:hAnsi="宋体" w:cs="宋体" w:hint="eastAsia"/>
          <w:color w:val="555555"/>
          <w:kern w:val="0"/>
          <w:sz w:val="24"/>
          <w:szCs w:val="24"/>
        </w:rPr>
        <w:t>中心</w:t>
      </w:r>
      <w:r w:rsidRPr="008E3275">
        <w:rPr>
          <w:rFonts w:ascii="宋体" w:eastAsia="宋体" w:hAnsi="宋体" w:cs="宋体" w:hint="eastAsia"/>
          <w:color w:val="555555"/>
          <w:kern w:val="0"/>
          <w:sz w:val="24"/>
          <w:szCs w:val="24"/>
        </w:rPr>
        <w:t>     （第</w:t>
      </w:r>
      <w:r>
        <w:rPr>
          <w:rFonts w:ascii="宋体" w:eastAsia="宋体" w:hAnsi="宋体" w:cs="宋体" w:hint="eastAsia"/>
          <w:color w:val="555555"/>
          <w:kern w:val="0"/>
          <w:sz w:val="24"/>
          <w:szCs w:val="24"/>
        </w:rPr>
        <w:t>二</w:t>
      </w:r>
      <w:r w:rsidRPr="008E3275">
        <w:rPr>
          <w:rFonts w:ascii="宋体" w:eastAsia="宋体" w:hAnsi="宋体" w:cs="宋体" w:hint="eastAsia"/>
          <w:color w:val="555555"/>
          <w:kern w:val="0"/>
          <w:sz w:val="24"/>
          <w:szCs w:val="24"/>
        </w:rPr>
        <w:t>十</w:t>
      </w:r>
      <w:r>
        <w:rPr>
          <w:rFonts w:ascii="宋体" w:eastAsia="宋体" w:hAnsi="宋体" w:cs="宋体" w:hint="eastAsia"/>
          <w:color w:val="555555"/>
          <w:kern w:val="0"/>
          <w:sz w:val="24"/>
          <w:szCs w:val="24"/>
        </w:rPr>
        <w:t>一</w:t>
      </w:r>
      <w:r w:rsidRPr="008E3275">
        <w:rPr>
          <w:rFonts w:ascii="宋体" w:eastAsia="宋体" w:hAnsi="宋体" w:cs="宋体" w:hint="eastAsia"/>
          <w:color w:val="555555"/>
          <w:kern w:val="0"/>
          <w:sz w:val="24"/>
          <w:szCs w:val="24"/>
        </w:rPr>
        <w:t>期）  </w:t>
      </w:r>
      <w:r>
        <w:rPr>
          <w:rFonts w:ascii="宋体" w:eastAsia="宋体" w:hAnsi="宋体" w:cs="宋体" w:hint="eastAsia"/>
          <w:color w:val="555555"/>
          <w:kern w:val="0"/>
          <w:sz w:val="24"/>
          <w:szCs w:val="24"/>
        </w:rPr>
        <w:t xml:space="preserve"> </w:t>
      </w:r>
      <w:r>
        <w:rPr>
          <w:rFonts w:ascii="宋体" w:eastAsia="宋体" w:hAnsi="宋体" w:cs="宋体" w:hint="eastAsia"/>
          <w:b/>
          <w:bCs/>
          <w:color w:val="555555"/>
          <w:kern w:val="0"/>
          <w:sz w:val="24"/>
          <w:szCs w:val="24"/>
        </w:rPr>
        <w:t>2</w:t>
      </w:r>
      <w:r w:rsidRPr="008E3275">
        <w:rPr>
          <w:rFonts w:ascii="宋体" w:eastAsia="宋体" w:hAnsi="宋体" w:cs="宋体" w:hint="eastAsia"/>
          <w:b/>
          <w:bCs/>
          <w:color w:val="555555"/>
          <w:kern w:val="0"/>
          <w:sz w:val="24"/>
          <w:szCs w:val="24"/>
        </w:rPr>
        <w:t>01</w:t>
      </w:r>
      <w:r>
        <w:rPr>
          <w:rFonts w:ascii="宋体" w:eastAsia="宋体" w:hAnsi="宋体" w:cs="宋体" w:hint="eastAsia"/>
          <w:b/>
          <w:bCs/>
          <w:color w:val="555555"/>
          <w:kern w:val="0"/>
          <w:sz w:val="24"/>
          <w:szCs w:val="24"/>
        </w:rPr>
        <w:t>8</w:t>
      </w:r>
      <w:r w:rsidRPr="008E3275">
        <w:rPr>
          <w:rFonts w:ascii="宋体" w:eastAsia="宋体" w:hAnsi="宋体" w:cs="宋体" w:hint="eastAsia"/>
          <w:b/>
          <w:bCs/>
          <w:color w:val="555555"/>
          <w:kern w:val="0"/>
          <w:sz w:val="24"/>
          <w:szCs w:val="24"/>
        </w:rPr>
        <w:t>年</w:t>
      </w:r>
      <w:r>
        <w:rPr>
          <w:rFonts w:ascii="宋体" w:eastAsia="宋体" w:hAnsi="宋体" w:cs="宋体" w:hint="eastAsia"/>
          <w:b/>
          <w:bCs/>
          <w:color w:val="555555"/>
          <w:kern w:val="0"/>
          <w:sz w:val="24"/>
          <w:szCs w:val="24"/>
        </w:rPr>
        <w:t>1</w:t>
      </w:r>
      <w:r w:rsidR="00F80F5A">
        <w:rPr>
          <w:rFonts w:ascii="宋体" w:eastAsia="宋体" w:hAnsi="宋体" w:cs="宋体" w:hint="eastAsia"/>
          <w:b/>
          <w:bCs/>
          <w:color w:val="555555"/>
          <w:kern w:val="0"/>
          <w:sz w:val="24"/>
          <w:szCs w:val="24"/>
        </w:rPr>
        <w:t>0</w:t>
      </w:r>
      <w:r w:rsidRPr="008E3275">
        <w:rPr>
          <w:rFonts w:ascii="宋体" w:eastAsia="宋体" w:hAnsi="宋体" w:cs="宋体" w:hint="eastAsia"/>
          <w:b/>
          <w:bCs/>
          <w:color w:val="555555"/>
          <w:kern w:val="0"/>
          <w:sz w:val="24"/>
          <w:szCs w:val="24"/>
        </w:rPr>
        <w:t>月</w:t>
      </w:r>
      <w:r w:rsidR="00F80F5A">
        <w:rPr>
          <w:rFonts w:ascii="宋体" w:eastAsia="宋体" w:hAnsi="宋体" w:cs="宋体" w:hint="eastAsia"/>
          <w:b/>
          <w:bCs/>
          <w:color w:val="555555"/>
          <w:kern w:val="0"/>
          <w:sz w:val="24"/>
          <w:szCs w:val="24"/>
        </w:rPr>
        <w:t>2</w:t>
      </w:r>
      <w:r>
        <w:rPr>
          <w:rFonts w:ascii="宋体" w:eastAsia="宋体" w:hAnsi="宋体" w:cs="宋体" w:hint="eastAsia"/>
          <w:b/>
          <w:bCs/>
          <w:color w:val="555555"/>
          <w:kern w:val="0"/>
          <w:sz w:val="24"/>
          <w:szCs w:val="24"/>
        </w:rPr>
        <w:t>4</w:t>
      </w:r>
      <w:r w:rsidRPr="008E3275">
        <w:rPr>
          <w:rFonts w:ascii="宋体" w:eastAsia="宋体" w:hAnsi="宋体" w:cs="宋体" w:hint="eastAsia"/>
          <w:b/>
          <w:bCs/>
          <w:color w:val="555555"/>
          <w:kern w:val="0"/>
          <w:sz w:val="24"/>
          <w:szCs w:val="24"/>
        </w:rPr>
        <w:t>日</w:t>
      </w:r>
    </w:p>
    <w:p w:rsidR="00761179" w:rsidRPr="008E3275" w:rsidRDefault="00761179" w:rsidP="00761179">
      <w:pPr>
        <w:widowControl/>
        <w:shd w:val="clear" w:color="auto" w:fill="FFFFFF"/>
        <w:spacing w:line="240" w:lineRule="atLeast"/>
        <w:jc w:val="center"/>
        <w:rPr>
          <w:rFonts w:ascii="宋体" w:eastAsia="宋体" w:hAnsi="宋体" w:cs="宋体"/>
          <w:color w:val="333333"/>
          <w:kern w:val="0"/>
          <w:sz w:val="24"/>
          <w:szCs w:val="24"/>
        </w:rPr>
      </w:pPr>
      <w:r w:rsidRPr="008E3275">
        <w:rPr>
          <w:rFonts w:ascii="黑体" w:eastAsia="黑体" w:hAnsi="宋体" w:cs="宋体" w:hint="eastAsia"/>
          <w:b/>
          <w:bCs/>
          <w:color w:val="FF0000"/>
          <w:kern w:val="0"/>
          <w:sz w:val="24"/>
          <w:szCs w:val="21"/>
        </w:rPr>
        <w:t>＝＝＝＝＝＝＝＝＝＝＝＝＝＝＝＝＝＝＝＝＝＝＝＝＝＝＝＝＝＝＝＝＝＝</w:t>
      </w:r>
    </w:p>
    <w:p w:rsidR="00761179" w:rsidRDefault="00761179" w:rsidP="00593D58">
      <w:pPr>
        <w:widowControl/>
        <w:shd w:val="clear" w:color="auto" w:fill="FFFFFF"/>
        <w:spacing w:beforeLines="50" w:afterLines="50" w:line="360" w:lineRule="auto"/>
        <w:ind w:firstLineChars="200" w:firstLine="480"/>
        <w:jc w:val="left"/>
        <w:rPr>
          <w:rFonts w:ascii="仿宋" w:eastAsia="仿宋" w:hAnsi="仿宋" w:cs="宋体"/>
          <w:b/>
          <w:color w:val="333333"/>
          <w:kern w:val="0"/>
          <w:sz w:val="24"/>
          <w:szCs w:val="24"/>
        </w:rPr>
      </w:pPr>
      <w:r w:rsidRPr="008E3275">
        <w:rPr>
          <w:rFonts w:ascii="宋体" w:eastAsia="仿宋" w:hAnsi="宋体" w:cs="宋体"/>
          <w:color w:val="333333"/>
          <w:kern w:val="0"/>
          <w:sz w:val="24"/>
          <w:szCs w:val="24"/>
        </w:rPr>
        <w:t> </w:t>
      </w:r>
      <w:r>
        <w:rPr>
          <w:rFonts w:ascii="宋体" w:eastAsia="仿宋" w:hAnsi="宋体" w:cs="宋体" w:hint="eastAsia"/>
          <w:color w:val="333333"/>
          <w:kern w:val="0"/>
          <w:sz w:val="24"/>
          <w:szCs w:val="24"/>
        </w:rPr>
        <w:t xml:space="preserve"> </w:t>
      </w:r>
      <w:r w:rsidRPr="00682DCB">
        <w:rPr>
          <w:rFonts w:ascii="仿宋" w:eastAsia="仿宋" w:hAnsi="仿宋" w:cs="宋体" w:hint="eastAsia"/>
          <w:b/>
          <w:color w:val="333333"/>
          <w:kern w:val="0"/>
          <w:sz w:val="24"/>
          <w:szCs w:val="24"/>
        </w:rPr>
        <w:t>本期导读</w:t>
      </w:r>
    </w:p>
    <w:p w:rsidR="00761179" w:rsidRDefault="00761179" w:rsidP="00761179">
      <w:pPr>
        <w:widowControl/>
        <w:spacing w:line="360" w:lineRule="auto"/>
        <w:ind w:firstLine="561"/>
        <w:jc w:val="left"/>
        <w:rPr>
          <w:rFonts w:ascii="仿宋" w:eastAsia="仿宋" w:hAnsi="仿宋"/>
          <w:b/>
          <w:bCs/>
          <w:color w:val="333333"/>
          <w:sz w:val="24"/>
          <w:szCs w:val="24"/>
        </w:rPr>
      </w:pPr>
      <w:r w:rsidRPr="00047F73">
        <w:rPr>
          <w:rFonts w:ascii="仿宋" w:eastAsia="仿宋" w:hAnsi="仿宋" w:hint="eastAsia"/>
          <w:b/>
          <w:bCs/>
          <w:color w:val="333333"/>
          <w:sz w:val="24"/>
          <w:szCs w:val="24"/>
        </w:rPr>
        <w:t>★</w:t>
      </w:r>
      <w:r w:rsidRPr="0030734D">
        <w:rPr>
          <w:rFonts w:ascii="仿宋" w:eastAsia="仿宋" w:hAnsi="仿宋" w:hint="eastAsia"/>
          <w:b/>
          <w:bCs/>
          <w:color w:val="333333"/>
          <w:sz w:val="24"/>
          <w:szCs w:val="24"/>
        </w:rPr>
        <w:t>河北大学2017～2018学年教师课程教学质量评价分析报告</w:t>
      </w:r>
    </w:p>
    <w:p w:rsidR="00761179" w:rsidRDefault="00761179" w:rsidP="00761179">
      <w:pPr>
        <w:widowControl/>
        <w:spacing w:line="360" w:lineRule="auto"/>
        <w:ind w:firstLine="561"/>
        <w:jc w:val="left"/>
        <w:rPr>
          <w:rFonts w:ascii="仿宋" w:eastAsia="仿宋" w:hAnsi="仿宋"/>
          <w:b/>
          <w:bCs/>
          <w:color w:val="333333"/>
          <w:sz w:val="24"/>
          <w:szCs w:val="24"/>
        </w:rPr>
      </w:pPr>
      <w:r w:rsidRPr="00B02B71">
        <w:rPr>
          <w:rFonts w:ascii="仿宋" w:eastAsia="仿宋" w:hAnsi="仿宋" w:hint="eastAsia"/>
          <w:b/>
          <w:bCs/>
          <w:color w:val="333333"/>
          <w:sz w:val="24"/>
          <w:szCs w:val="24"/>
        </w:rPr>
        <w:t>★副校长杨学新专题调研指导测控技术与仪器专业认证工作</w:t>
      </w:r>
    </w:p>
    <w:p w:rsidR="00761179" w:rsidRDefault="00761179" w:rsidP="00761179">
      <w:pPr>
        <w:widowControl/>
        <w:spacing w:line="360" w:lineRule="auto"/>
        <w:ind w:firstLine="561"/>
        <w:jc w:val="left"/>
        <w:rPr>
          <w:rFonts w:ascii="仿宋" w:eastAsia="仿宋" w:hAnsi="仿宋"/>
          <w:b/>
          <w:bCs/>
          <w:color w:val="333333"/>
          <w:sz w:val="24"/>
          <w:szCs w:val="24"/>
        </w:rPr>
      </w:pPr>
      <w:r w:rsidRPr="00B02B71">
        <w:rPr>
          <w:rFonts w:ascii="仿宋" w:eastAsia="仿宋" w:hAnsi="仿宋" w:hint="eastAsia"/>
          <w:b/>
          <w:bCs/>
          <w:color w:val="333333"/>
          <w:sz w:val="24"/>
          <w:szCs w:val="24"/>
        </w:rPr>
        <w:t>★教育教学质量评估中心组织召开试卷质量与管理及毕业论文（设计）评估工作布置会</w:t>
      </w:r>
    </w:p>
    <w:p w:rsidR="00761179" w:rsidRDefault="00761179" w:rsidP="00761179">
      <w:pPr>
        <w:widowControl/>
        <w:spacing w:line="360" w:lineRule="auto"/>
        <w:ind w:firstLine="561"/>
        <w:jc w:val="left"/>
        <w:rPr>
          <w:rFonts w:ascii="仿宋" w:eastAsia="仿宋" w:hAnsi="仿宋"/>
          <w:b/>
          <w:bCs/>
          <w:color w:val="333333"/>
          <w:sz w:val="24"/>
          <w:szCs w:val="24"/>
        </w:rPr>
      </w:pPr>
    </w:p>
    <w:p w:rsidR="00761179" w:rsidRDefault="00761179" w:rsidP="00761179">
      <w:pPr>
        <w:widowControl/>
        <w:spacing w:line="360" w:lineRule="auto"/>
        <w:ind w:firstLine="561"/>
        <w:jc w:val="left"/>
        <w:rPr>
          <w:rFonts w:ascii="仿宋" w:eastAsia="仿宋" w:hAnsi="仿宋"/>
          <w:b/>
          <w:bCs/>
          <w:color w:val="333333"/>
          <w:sz w:val="24"/>
          <w:szCs w:val="24"/>
        </w:rPr>
      </w:pPr>
    </w:p>
    <w:p w:rsidR="00761179" w:rsidRDefault="00761179" w:rsidP="00761179">
      <w:pPr>
        <w:widowControl/>
        <w:spacing w:line="360" w:lineRule="auto"/>
        <w:ind w:firstLine="561"/>
        <w:jc w:val="left"/>
        <w:rPr>
          <w:rFonts w:ascii="仿宋" w:eastAsia="仿宋" w:hAnsi="仿宋"/>
          <w:b/>
          <w:bCs/>
          <w:color w:val="333333"/>
          <w:sz w:val="24"/>
          <w:szCs w:val="24"/>
        </w:rPr>
      </w:pPr>
      <w:r w:rsidRPr="00047F73">
        <w:rPr>
          <w:rFonts w:ascii="仿宋" w:eastAsia="仿宋" w:hAnsi="仿宋" w:hint="eastAsia"/>
          <w:b/>
          <w:bCs/>
          <w:color w:val="333333"/>
          <w:sz w:val="24"/>
          <w:szCs w:val="24"/>
        </w:rPr>
        <w:t>★</w:t>
      </w:r>
      <w:r w:rsidRPr="0030734D">
        <w:rPr>
          <w:rFonts w:ascii="仿宋" w:eastAsia="仿宋" w:hAnsi="仿宋" w:hint="eastAsia"/>
          <w:b/>
          <w:bCs/>
          <w:color w:val="333333"/>
          <w:sz w:val="24"/>
          <w:szCs w:val="24"/>
        </w:rPr>
        <w:t>河北大学2017～2018学年教师课程教学质量评价分析报告</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为进一步加强课程教学质量管理，科学评价教师课程教学，提高教师课程教学质量，我校分秋、春两学期开展了2017～2018学年教师课程教学质量评价工作。教师课程教学质量评估分校院两个层面开展，包括优秀评价、合格评价和常规评价三种形式。</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一、数据分析</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（一）优秀评价</w:t>
      </w:r>
    </w:p>
    <w:p w:rsidR="00761179" w:rsidRPr="0030734D" w:rsidRDefault="00761179" w:rsidP="00761179">
      <w:pPr>
        <w:snapToGrid w:val="0"/>
        <w:spacing w:line="360" w:lineRule="auto"/>
        <w:ind w:leftChars="50" w:left="105"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本学年各教学单位共推荐178名教师参加优秀评价，实际参评</w:t>
      </w:r>
    </w:p>
    <w:p w:rsidR="00761179" w:rsidRPr="0030734D" w:rsidRDefault="00761179" w:rsidP="00761179">
      <w:pPr>
        <w:snapToGrid w:val="0"/>
        <w:spacing w:line="360" w:lineRule="auto"/>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175人（3人因课程安排等原因自动放弃），评选出教学质量优秀人员170人,5人未能获得优秀，其中1人因总成绩低于90分，4人因学校评教均值低于90分。优秀评价结果由学校评价、学院评价、教师自评和学生评教四部分构成。</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 xml:space="preserve"> 1.学校评价 </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教师课程教学质量优秀评价学校评价结果取校级专家评价成绩均值。实际参评的175名教师中，最高分97.7分，最低分76.7分，平均分92.5分。学校评</w:t>
      </w:r>
      <w:r w:rsidRPr="0030734D">
        <w:rPr>
          <w:rFonts w:ascii="仿宋" w:eastAsia="仿宋" w:hAnsi="仿宋" w:cs="宋体" w:hint="eastAsia"/>
          <w:bCs/>
          <w:color w:val="333333"/>
          <w:kern w:val="0"/>
          <w:sz w:val="24"/>
          <w:szCs w:val="24"/>
        </w:rPr>
        <w:lastRenderedPageBreak/>
        <w:t>价成绩分布情况如下图：</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bCs/>
          <w:noProof/>
          <w:color w:val="333333"/>
          <w:kern w:val="0"/>
          <w:sz w:val="24"/>
          <w:szCs w:val="24"/>
        </w:rPr>
        <w:drawing>
          <wp:inline distT="0" distB="0" distL="0" distR="0">
            <wp:extent cx="4572000" cy="2743200"/>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 xml:space="preserve">2.学院评价 </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教师课程教学质量优秀评价学院评价取院级专家评价成绩均值。实际参评的175名教师中，最高分99分，最低分73分，平均分94.3分。学院评价成绩分布情况如下图：</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bCs/>
          <w:noProof/>
          <w:color w:val="333333"/>
          <w:kern w:val="0"/>
          <w:sz w:val="24"/>
          <w:szCs w:val="24"/>
        </w:rPr>
        <w:drawing>
          <wp:inline distT="0" distB="0" distL="0" distR="0">
            <wp:extent cx="4572000" cy="2743200"/>
            <wp:effectExtent l="19050" t="0" r="19050" b="0"/>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 xml:space="preserve">3.教师自评 </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从2017-2018学年春学期开始，教师自评成绩列入教师课程教学质量优秀评价结果，春学期参评的83名教师均按要求完成自评，最高分100分，最低分90分，平均分数96.2分。教师自评成绩分布情况如下图：</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bCs/>
          <w:noProof/>
          <w:color w:val="333333"/>
          <w:kern w:val="0"/>
          <w:sz w:val="24"/>
          <w:szCs w:val="24"/>
        </w:rPr>
        <w:lastRenderedPageBreak/>
        <w:drawing>
          <wp:inline distT="0" distB="0" distL="0" distR="0">
            <wp:extent cx="4572000" cy="2524125"/>
            <wp:effectExtent l="19050" t="0" r="1905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 xml:space="preserve">4.学生评教 </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本学年参评教师课程教学质量优秀评价的175名教师中，最高分99.7分，最低分82.9分，平均分96.5分。学生评教成绩分布情况如下图：</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bCs/>
          <w:noProof/>
          <w:color w:val="333333"/>
          <w:kern w:val="0"/>
          <w:sz w:val="24"/>
          <w:szCs w:val="24"/>
        </w:rPr>
        <w:drawing>
          <wp:inline distT="0" distB="0" distL="0" distR="0">
            <wp:extent cx="4572000" cy="2743200"/>
            <wp:effectExtent l="19050" t="0" r="1905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5.综合评价</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综合学校评价、学院评价、学生评教和教师自评成绩，本学年实际参评的175名教师中，综合评价结果最高分98.5分，最低分88.2分，平均分94.5分。综合评价成绩分布情况如下图：</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bCs/>
          <w:noProof/>
          <w:color w:val="333333"/>
          <w:kern w:val="0"/>
          <w:sz w:val="24"/>
          <w:szCs w:val="24"/>
        </w:rPr>
        <w:lastRenderedPageBreak/>
        <w:drawing>
          <wp:inline distT="0" distB="0" distL="0" distR="0">
            <wp:extent cx="4552950" cy="2846070"/>
            <wp:effectExtent l="19050" t="0" r="19050" b="0"/>
            <wp:docPr id="11"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（二）合格评价</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本学年共有65名教师参加合格评价，4人因课程安排等原因自动放弃，其余61人全部通过合格评价。合格评价结果由学院评价、教师自评和学生评教三部分构成。</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1.学院评价</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教师课程教学质量合格评价中，实际参评的61名教师中，最高分99分，最低分78.7分，平均分91.3分。学院评价成绩分布情况如下图：</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bCs/>
          <w:noProof/>
          <w:color w:val="333333"/>
          <w:kern w:val="0"/>
          <w:sz w:val="24"/>
          <w:szCs w:val="24"/>
        </w:rPr>
        <w:drawing>
          <wp:inline distT="0" distB="0" distL="0" distR="0">
            <wp:extent cx="4572000" cy="2743200"/>
            <wp:effectExtent l="19050" t="0" r="19050" b="0"/>
            <wp:docPr id="19"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2.教师自评</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2017-2018学年春学期参评合格评价的教师按要求进行了自评，自评成绩最</w:t>
      </w:r>
      <w:r w:rsidRPr="0030734D">
        <w:rPr>
          <w:rFonts w:ascii="仿宋" w:eastAsia="仿宋" w:hAnsi="仿宋" w:cs="宋体" w:hint="eastAsia"/>
          <w:bCs/>
          <w:color w:val="333333"/>
          <w:kern w:val="0"/>
          <w:sz w:val="24"/>
          <w:szCs w:val="24"/>
        </w:rPr>
        <w:lastRenderedPageBreak/>
        <w:t>高分99分，最低分80分，平均分92.1分。教师自评成绩分布情况如下图：</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bCs/>
          <w:noProof/>
          <w:color w:val="333333"/>
          <w:kern w:val="0"/>
          <w:sz w:val="24"/>
          <w:szCs w:val="24"/>
        </w:rPr>
        <w:drawing>
          <wp:inline distT="0" distB="0" distL="0" distR="0">
            <wp:extent cx="4572000" cy="2743200"/>
            <wp:effectExtent l="19050" t="0" r="19050" b="0"/>
            <wp:docPr id="2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3.学生评教</w:t>
      </w:r>
    </w:p>
    <w:p w:rsidR="00761179" w:rsidRPr="0030734D" w:rsidRDefault="00761179" w:rsidP="00761179">
      <w:pPr>
        <w:snapToGrid w:val="0"/>
        <w:spacing w:line="360" w:lineRule="auto"/>
        <w:ind w:leftChars="50" w:left="105" w:firstLineChars="150" w:firstLine="36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教师课程教学质量合格评价中，参评的61名教师学生评教成绩最高分 99.6分，最低分85分 ，平均分96.7分。学生评教成绩分布情况如下图：</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bCs/>
          <w:noProof/>
          <w:color w:val="333333"/>
          <w:kern w:val="0"/>
          <w:sz w:val="24"/>
          <w:szCs w:val="24"/>
        </w:rPr>
        <w:drawing>
          <wp:inline distT="0" distB="0" distL="0" distR="0">
            <wp:extent cx="4572000" cy="2743200"/>
            <wp:effectExtent l="19050" t="0" r="19050" b="0"/>
            <wp:docPr id="2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（三）常规评价</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本学年学校督学采取期初教学检查、随机监测听课两种形式，共对508人次开展了常规评价。常规评价最高分99分，最低分70分，平均分92分。评价成绩分布情况见下图：</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bCs/>
          <w:noProof/>
          <w:color w:val="333333"/>
          <w:kern w:val="0"/>
          <w:sz w:val="24"/>
          <w:szCs w:val="24"/>
        </w:rPr>
        <w:lastRenderedPageBreak/>
        <w:drawing>
          <wp:inline distT="0" distB="0" distL="0" distR="0">
            <wp:extent cx="4572000" cy="2743200"/>
            <wp:effectExtent l="19050" t="0" r="19050" b="0"/>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二、结果分析</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（一）教师教学</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1.教学态度与教学规范</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值得肯定之处：各学院（部）的教师整体做得比较好，绝大部分能严格遵守作息时间，提前达到教室做准备，没有接打电话情况发生，仪态端庄，教态亲切自然，举止文明，多能使用普通话教学，发音清晰，表现出较强的责任心。绝大多数老师课堂纪律要求非常严格，对建立良好学风起到积极作用。</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不足之处：有个别教师踏着时间点进入教室，虽未迟到，但课前准备时间偏短。</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2.教学内容</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值得肯定之处：各学院教师对教材普遍比较熟悉或很熟悉，对内容的选择和处理均比较好；教学内容符合专业要求，充实丰富，知识结构有层次，逻辑性强；大部分教师能吸收学科新观点和新成果到课堂教学中，注意理论与实践的结合，有很多老师引用了丰富的实例来帮助学生理解，材料新颖；有来自不同学院的教师能够非常认真地检查与反馈学生课下作业。</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不足之处：不同学院都有个别教师在新观点引入、实例或事例的列举与分析、知识的结构化方面还不太充分，有的授课内容过于浅显，个别教师信息量不十分充足；个别教师授课只是教材内容的重复，缺乏深入浅出的讲解，缺乏必要的引导和解释，不能让学生理解和掌握；不能够突出重点、难点，教学目标不够明确；有的教师对内容不够熟练，有卡壳现象出现，个别概念解释不是特别清晰。</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lastRenderedPageBreak/>
        <w:t>3.教学手段和方法的运用</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值得肯定之处：大部分教师能根据教学内容和学生发展需要与特点采用多样方法。使用多媒体的教师在操作上都熟练，课件质量普遍较好；使用普通教室的教师在板书设计上大部分做得比较好，设计简练清晰，主副板书使用得当。部分课堂师生互动充分，有的教师有针对性地设计讨论活动，有的课堂上教师提问多且有追问，学生回答主动并能有自己观点；大部分教师对学生的回答能有及时反馈和评价，且反馈与评价具有针对性。</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不足之处：部分教师课堂上与学生的互动不充分，缺少与学生的交流，提出实例后缺少让学生独立思考并发表见解的机会；有的教师在对学生的课堂活动要求未做明确提示；个别教师课件制作水平较差， 过于简单，形式呆板，文字较多，内容不够精炼，重点不够突出，不能充分利用图表或音频、视频资料、图片等手段，没有发挥出多媒体教学的优势，有的课件文字、标点使用不够准确、规范，字迹较小，或背景颜色和字体颜色搭配不协调；个别老师普通板书使用不规范或干脆无板书。</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4.教学组织与教学艺术</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值得肯定之处：总体表现非常好，多数教师课堂教学设计环节比较合理，教学过程完整，思路清晰，活动组织有序，能充分利用课时，教学语言通俗易懂；大部分教师在课程导入环节准备充分，教学中能明确学习的重点，对学生在课堂上的表现给予及时评价，能积极鼓励学生和正向引导学生；在出勤、提问、讨论等环节有明确的课堂规则。</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不足之处：课堂教学管理还有待加强，有的课程缺乏合理的教学设计，随意性较大，与课程内容联系不够紧密；有的课程教案设计不合理，课堂教学效果差，教师讲课缺乏吸引力，课堂气氛不和谐，课堂表现松散，教师和学生完全没有呼应；有些课堂缺乏互动设计或互动组织不合理，有的教师授课根本没有互动设计，有的虽有互动设计，但内容、方式、时间安排不尽合理；有的教师对学生所讲内容缺乏必要的总结和点评，不利于提高互动的效果；许多课堂上都发现有学生玩手机或趴着睡觉等现象，绝大多数教师很少关注这种现象，不能通过课堂管理策略的调整及时处理。</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5.教学效果</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lastRenderedPageBreak/>
        <w:t>值得肯定之处：绝大部分教师教学态度认真，一些课堂教学很有吸引力，课堂秩序总体比较好，气氛和谐，学生能较好理解课堂授课内容。</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不足之处：有些专业基础课课堂规模过大，无法保证教学效果；如：有些专业基础课需要较好的高等数学基础，理解和应用的难度都很大，课堂规模达了100人以上，甚至超过150人，教师无法掌控教学效果，导致很多学生根本跟不上教学内容，对教学内容不能理解和应用，给后续的课程考核带来诸多无法解决的问题。</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6.教学资料</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值得肯定之处：多数教师教学资料齐全，教材选取恰当；教学日历绝大部分都使用学校模板，撰写规范；绝大大部分教师有教案，且有的教案非常详细。</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不足之处：教学日历中，多数教师对课堂教学的活动环节内容及所用课时没有做出标示；部分教师教案撰写过于简单，仅有几条讲授内容的标题，缺乏课堂教学环节与活动的整体设计与呈现；个别教师没有按要求携带教学资料。</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（二） 学生学习</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1学生到课率：各学院整体出勤情况总体良好，有些课堂学生到课率较低。</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2.听课纪律：总体表现比较好，特别是小班授课的效果明显要好。但部分课堂尤其是后排发现有学生玩手机、睡觉、聊天、看其他书籍等情况发生。</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3.师生与生生互动：有的课堂表现出色，互动很多，有学生主动回答教师提问，但有的课堂互动不足，甚至很少。</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三、改进建议</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（一）加强教师的教学规范与教学技能的指导与培训</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规范是搞好教学工作的前提，要让教师明确规范是教学基本要求，创新是教学工作的最高体现。校院两级层面要主动加强对教师教学规范指导，在教学活动的设计与组织方面做好更加具体的指导工作，提高教师课堂教学整体设计的意识与能力，特别要增强对学生参与课堂教学活动的设计与安排。</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（二）加强教师的教学新理念认知</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教学理念是影响教师教学行为的关键因素。校院两级应增加定期的教学理论和理念培训，鼓励教师进行教学模式改革，特别是贯彻“教学相长”思想，提升教师的课堂师生互动意识，以及学生积极参与和互动的意识与能力，把课堂教学</w:t>
      </w:r>
      <w:r w:rsidRPr="0030734D">
        <w:rPr>
          <w:rFonts w:ascii="仿宋" w:eastAsia="仿宋" w:hAnsi="仿宋" w:cs="宋体" w:hint="eastAsia"/>
          <w:bCs/>
          <w:color w:val="333333"/>
          <w:kern w:val="0"/>
          <w:sz w:val="24"/>
          <w:szCs w:val="24"/>
        </w:rPr>
        <w:lastRenderedPageBreak/>
        <w:t>和人才培养要求真正结合起来。鼓励教师掌握并真正运用小组合作学习方式，提高学生课堂参与的知识准备与能力。</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（三）重视教案设计，定期开展教案观摩</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教案是一门课程如何进行课堂教学的总体设计，该设计是否合理，直接影响和决定着课堂教学的具体形式、使用的教学手段和最终的教学效果，但一些教师对教案设计的重要性认识不足。各承担教学任务的单位要强调教案设计的重要性，可以适时开展教案设计评比，组织教案观摩活动。</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（四）进一步提高课件制作水平</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一方面教务处要继续专门组织课件制作的培训，结合信息技术的新发展，提高教师课件制作的质量水平；另一方面，要通过课件评选、课件观摩等活动，提高教师改善课件的积极性和针对性，从而提高课件对学生的吸引力，增强教学效果。</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（五）进一步完善教师教学水平评估体系</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一门课讲的好坏从根本上讲是要看学生是否通过老师的讲解加深理解了课程的重点和难点，学会并掌握了相关知识和技能。因此，建议增加对课程讲授深度及充分性的评估，不能只是看语言是否生动、互动是否充分、教学环节是否完善等表面内容，而要加入课程难度、讲授深度、讲解充分性与学生理解程度等观测点。</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（六）严格控制专业基础课的课堂规模</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造成合班上课、导致课堂规模过大的主要根源是教师数量不足，个别学院的生师比远远超过了18：1的要求。建议学校要采取有效措施，实现紧缺专业教师的有效招聘，尽快解决任课教师不足的问题，从根本上消除合班上课，控制课堂规模。</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（七）加强优秀教师对青年教师的教学引领作用</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继续定期组织优秀教师教学示范课，有效组织相关教师进行观摩，在教师中形成不断锤炼、提高教学基本功的氛围和平台，这是对优秀教师教学水平的肯定和鼓励，也是尽快提高青年教师教学水平和教学效果的有效途径。为保持优秀教师争开教学示范课的积极性，建议学校对讲授教学示范课的优秀教师应给予必要的支持和奖励。</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lastRenderedPageBreak/>
        <w:t>（八）进一步加强课堂教学的组织和管理</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好的课堂教学必须建立在好的课堂管理基础上。课堂教学不只是教师讲授教材内容的过程，而是与学生一起互动、思考、教学生学会做事和做人的过程。大学课堂里，课堂规则的制定、授课中在教室里的适当走动、适当的语言提示等，此外还有通过个别回答问题与集体回答问题相结合的方式的运用都能提高学生的兴趣和注意力，提高教学效果。一方面，学校主管部门要进一步加强学风建设的监督管理，提高学生的学习积极性、自觉性、组织纪律性；另一方面，任课教师应通过努力提高教学水平来提高所讲授课程对学生的吸引力，并通过必要的措施加强课堂的组织管理，充分调动学生的学习积极性。</w:t>
      </w:r>
    </w:p>
    <w:p w:rsidR="00761179" w:rsidRPr="0030734D"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（九）不断改善教学条件</w:t>
      </w:r>
    </w:p>
    <w:p w:rsidR="00761179" w:rsidRPr="00B02B71" w:rsidRDefault="00761179" w:rsidP="00761179">
      <w:pPr>
        <w:snapToGrid w:val="0"/>
        <w:spacing w:line="360" w:lineRule="auto"/>
        <w:ind w:firstLineChars="200" w:firstLine="480"/>
        <w:rPr>
          <w:rFonts w:ascii="仿宋" w:eastAsia="仿宋" w:hAnsi="仿宋" w:cs="宋体"/>
          <w:bCs/>
          <w:color w:val="333333"/>
          <w:kern w:val="0"/>
          <w:sz w:val="24"/>
          <w:szCs w:val="24"/>
        </w:rPr>
      </w:pPr>
      <w:r w:rsidRPr="0030734D">
        <w:rPr>
          <w:rFonts w:ascii="仿宋" w:eastAsia="仿宋" w:hAnsi="仿宋" w:cs="宋体" w:hint="eastAsia"/>
          <w:bCs/>
          <w:color w:val="333333"/>
          <w:kern w:val="0"/>
          <w:sz w:val="24"/>
          <w:szCs w:val="24"/>
        </w:rPr>
        <w:t>评价过程中，发现部分教室教学环境比较差，特别是多次反映在教学质量提案中的“多媒体屏幕发暗、后排看不清楚，或屏幕被遮挡”问题一直未解决，一定程度上影响了课堂教学效果，建议学校相关部门予以重视，定期检查教学设施，尽快解决反映的问题，不断完善教学设施，改善教学条件。</w:t>
      </w:r>
    </w:p>
    <w:p w:rsidR="00761179" w:rsidRDefault="00761179" w:rsidP="00761179">
      <w:pPr>
        <w:widowControl/>
        <w:spacing w:line="360" w:lineRule="auto"/>
        <w:ind w:firstLine="561"/>
        <w:jc w:val="left"/>
        <w:rPr>
          <w:rFonts w:ascii="仿宋" w:eastAsia="仿宋" w:hAnsi="仿宋"/>
          <w:b/>
          <w:bCs/>
          <w:color w:val="333333"/>
          <w:sz w:val="24"/>
          <w:szCs w:val="24"/>
        </w:rPr>
      </w:pPr>
      <w:r w:rsidRPr="00B02B71">
        <w:rPr>
          <w:rFonts w:ascii="仿宋" w:eastAsia="仿宋" w:hAnsi="仿宋" w:hint="eastAsia"/>
          <w:b/>
          <w:bCs/>
          <w:color w:val="333333"/>
          <w:sz w:val="24"/>
          <w:szCs w:val="24"/>
        </w:rPr>
        <w:t>★副校长杨学新专题调研指导测控技术与仪器专业认证工作</w:t>
      </w:r>
    </w:p>
    <w:p w:rsidR="00761179" w:rsidRPr="00B02B71" w:rsidRDefault="00761179" w:rsidP="00761179">
      <w:pPr>
        <w:widowControl/>
        <w:spacing w:line="360" w:lineRule="auto"/>
        <w:ind w:firstLine="561"/>
        <w:jc w:val="left"/>
        <w:rPr>
          <w:rFonts w:ascii="仿宋" w:eastAsia="仿宋" w:hAnsi="仿宋" w:cs="宋体"/>
          <w:bCs/>
          <w:color w:val="333333"/>
          <w:kern w:val="0"/>
          <w:sz w:val="24"/>
          <w:szCs w:val="24"/>
        </w:rPr>
      </w:pPr>
      <w:r w:rsidRPr="00B02B71">
        <w:rPr>
          <w:rFonts w:ascii="仿宋" w:eastAsia="仿宋" w:hAnsi="仿宋" w:cs="宋体" w:hint="eastAsia"/>
          <w:bCs/>
          <w:color w:val="333333"/>
          <w:kern w:val="0"/>
          <w:sz w:val="24"/>
          <w:szCs w:val="24"/>
        </w:rPr>
        <w:t xml:space="preserve">9月18日下午，副校长杨学新深入质量技术监督学院，就测控技术与仪器专业认证工作进行专题调研与指导，教育教学质量评估中心相关人员陪同参加调研。 </w:t>
      </w:r>
    </w:p>
    <w:p w:rsidR="00761179" w:rsidRPr="00B02B71" w:rsidRDefault="00761179" w:rsidP="00761179">
      <w:pPr>
        <w:widowControl/>
        <w:spacing w:line="360" w:lineRule="auto"/>
        <w:ind w:firstLine="561"/>
        <w:jc w:val="left"/>
        <w:rPr>
          <w:rFonts w:ascii="仿宋" w:eastAsia="仿宋" w:hAnsi="仿宋" w:cs="宋体"/>
          <w:bCs/>
          <w:color w:val="333333"/>
          <w:kern w:val="0"/>
          <w:sz w:val="24"/>
          <w:szCs w:val="24"/>
        </w:rPr>
      </w:pPr>
      <w:r w:rsidRPr="00B02B71">
        <w:rPr>
          <w:rFonts w:ascii="仿宋" w:eastAsia="仿宋" w:hAnsi="仿宋" w:cs="宋体" w:hint="eastAsia"/>
          <w:bCs/>
          <w:color w:val="333333"/>
          <w:kern w:val="0"/>
          <w:sz w:val="24"/>
          <w:szCs w:val="24"/>
        </w:rPr>
        <w:t xml:space="preserve">调研过程中，杨学新副校长听取了学院关于支撑材料准备、专业认证培训、专家见面会汇报材料准备等专家进校前各项工作的进展情况，实地考察了学院工程训练中心、创新中心、知行创客空间、实验室等场所，查阅了仪器设备使用记录、实验室工作日志等材料，就实习实训场所运行与利用效果情况和学院领导及工作人员进行了交流。 </w:t>
      </w:r>
    </w:p>
    <w:p w:rsidR="00761179" w:rsidRPr="00B02B71" w:rsidRDefault="00761179" w:rsidP="00761179">
      <w:pPr>
        <w:widowControl/>
        <w:spacing w:line="360" w:lineRule="auto"/>
        <w:ind w:firstLine="561"/>
        <w:jc w:val="left"/>
        <w:rPr>
          <w:rFonts w:ascii="仿宋" w:eastAsia="仿宋" w:hAnsi="仿宋" w:cs="宋体"/>
          <w:bCs/>
          <w:color w:val="333333"/>
          <w:kern w:val="0"/>
          <w:sz w:val="24"/>
          <w:szCs w:val="24"/>
        </w:rPr>
      </w:pPr>
      <w:r w:rsidRPr="00B02B71">
        <w:rPr>
          <w:rFonts w:ascii="仿宋" w:eastAsia="仿宋" w:hAnsi="仿宋" w:cs="宋体" w:hint="eastAsia"/>
          <w:bCs/>
          <w:color w:val="333333"/>
          <w:kern w:val="0"/>
          <w:sz w:val="24"/>
          <w:szCs w:val="24"/>
        </w:rPr>
        <w:t xml:space="preserve">杨学新副校长充分肯定了学院专业认证前期工作取得的成绩，并重点围绕实地考察情况，就改善实验实训场所环境、更新维护实验设备、加强实验室资源共享、优化创客空间设计、提高创新中心利用效果、加强学院软环境建设等方面提出了建设性意见。 </w:t>
      </w:r>
    </w:p>
    <w:p w:rsidR="00761179" w:rsidRPr="00B02B71" w:rsidRDefault="00761179" w:rsidP="00761179">
      <w:pPr>
        <w:widowControl/>
        <w:spacing w:line="360" w:lineRule="auto"/>
        <w:ind w:firstLine="561"/>
        <w:jc w:val="left"/>
        <w:rPr>
          <w:rFonts w:ascii="仿宋" w:eastAsia="仿宋" w:hAnsi="仿宋" w:cs="宋体"/>
          <w:bCs/>
          <w:color w:val="333333"/>
          <w:kern w:val="0"/>
          <w:sz w:val="24"/>
          <w:szCs w:val="24"/>
        </w:rPr>
      </w:pPr>
      <w:r w:rsidRPr="00B02B71">
        <w:rPr>
          <w:rFonts w:ascii="仿宋" w:eastAsia="仿宋" w:hAnsi="仿宋" w:cs="宋体" w:hint="eastAsia"/>
          <w:bCs/>
          <w:color w:val="333333"/>
          <w:kern w:val="0"/>
          <w:sz w:val="24"/>
          <w:szCs w:val="24"/>
        </w:rPr>
        <w:t xml:space="preserve">根据认证工作安排，我校测控技术与仪器专业将于下半年接受认证专家进校考察。 </w:t>
      </w:r>
    </w:p>
    <w:p w:rsidR="00761179" w:rsidRDefault="00761179" w:rsidP="00761179">
      <w:pPr>
        <w:widowControl/>
        <w:spacing w:line="360" w:lineRule="auto"/>
        <w:ind w:firstLine="561"/>
        <w:jc w:val="left"/>
        <w:rPr>
          <w:rFonts w:ascii="仿宋" w:eastAsia="仿宋" w:hAnsi="仿宋"/>
          <w:b/>
          <w:bCs/>
          <w:color w:val="333333"/>
          <w:sz w:val="24"/>
          <w:szCs w:val="24"/>
        </w:rPr>
      </w:pPr>
      <w:r w:rsidRPr="00B02B71">
        <w:rPr>
          <w:rFonts w:ascii="仿宋" w:eastAsia="仿宋" w:hAnsi="仿宋" w:hint="eastAsia"/>
          <w:b/>
          <w:bCs/>
          <w:color w:val="333333"/>
          <w:sz w:val="24"/>
          <w:szCs w:val="24"/>
        </w:rPr>
        <w:lastRenderedPageBreak/>
        <w:t>★教育教学质量评估中心组织召开试卷质量与管理及毕业论文（设计）评估工作布置会</w:t>
      </w:r>
    </w:p>
    <w:p w:rsidR="00761179" w:rsidRPr="00B02B71" w:rsidRDefault="00761179" w:rsidP="00761179">
      <w:pPr>
        <w:widowControl/>
        <w:spacing w:line="360" w:lineRule="auto"/>
        <w:ind w:firstLine="561"/>
        <w:jc w:val="left"/>
        <w:rPr>
          <w:rFonts w:ascii="仿宋" w:eastAsia="仿宋" w:hAnsi="仿宋" w:cs="宋体"/>
          <w:bCs/>
          <w:color w:val="333333"/>
          <w:kern w:val="0"/>
          <w:sz w:val="24"/>
          <w:szCs w:val="24"/>
        </w:rPr>
      </w:pPr>
      <w:r w:rsidRPr="00B02B71">
        <w:rPr>
          <w:rFonts w:ascii="仿宋" w:eastAsia="仿宋" w:hAnsi="仿宋" w:cs="宋体" w:hint="eastAsia"/>
          <w:bCs/>
          <w:color w:val="333333"/>
          <w:kern w:val="0"/>
          <w:sz w:val="24"/>
          <w:szCs w:val="24"/>
        </w:rPr>
        <w:t xml:space="preserve">2018年10月15日，教育教学质量评估中心在图书馆会议室组织召开试卷质量与管理评估、毕业论文（设计）评估工作布置会，学校督学和评估中心相关人员分两批参加了会议，会议由评估中心副主任张爱梅主持。 </w:t>
      </w:r>
    </w:p>
    <w:p w:rsidR="00761179" w:rsidRPr="00B02B71" w:rsidRDefault="00761179" w:rsidP="00761179">
      <w:pPr>
        <w:widowControl/>
        <w:spacing w:line="360" w:lineRule="auto"/>
        <w:ind w:firstLineChars="200" w:firstLine="480"/>
        <w:jc w:val="left"/>
        <w:rPr>
          <w:rFonts w:ascii="仿宋" w:eastAsia="仿宋" w:hAnsi="仿宋" w:cs="宋体"/>
          <w:bCs/>
          <w:color w:val="333333"/>
          <w:kern w:val="0"/>
          <w:sz w:val="24"/>
          <w:szCs w:val="24"/>
        </w:rPr>
      </w:pPr>
      <w:r w:rsidRPr="00B02B71">
        <w:rPr>
          <w:rFonts w:ascii="仿宋" w:eastAsia="仿宋" w:hAnsi="仿宋" w:cs="宋体" w:hint="eastAsia"/>
          <w:bCs/>
          <w:color w:val="333333"/>
          <w:kern w:val="0"/>
          <w:sz w:val="24"/>
          <w:szCs w:val="24"/>
        </w:rPr>
        <w:t xml:space="preserve">会上，张爱梅首先介绍了本学期学校督导工作安排，对试卷质量与管理评估、毕业论文（设计）评估两项工作进行具体部署，强调要重点结合教育部审核评估过程中专家的反馈意见，有针对性地进行检查和评估。之后，督学就两项评估工作的具体操作问题进行了探讨。 </w:t>
      </w:r>
    </w:p>
    <w:p w:rsidR="00761179" w:rsidRPr="00B02B71" w:rsidRDefault="00761179" w:rsidP="00761179">
      <w:pPr>
        <w:widowControl/>
        <w:spacing w:line="360" w:lineRule="auto"/>
        <w:ind w:firstLineChars="200" w:firstLine="480"/>
        <w:jc w:val="left"/>
        <w:rPr>
          <w:rFonts w:ascii="仿宋" w:eastAsia="仿宋" w:hAnsi="仿宋" w:cs="宋体"/>
          <w:bCs/>
          <w:color w:val="333333"/>
          <w:kern w:val="0"/>
          <w:sz w:val="24"/>
          <w:szCs w:val="24"/>
        </w:rPr>
      </w:pPr>
      <w:r w:rsidRPr="00B02B71">
        <w:rPr>
          <w:rFonts w:ascii="仿宋" w:eastAsia="仿宋" w:hAnsi="仿宋" w:cs="宋体" w:hint="eastAsia"/>
          <w:bCs/>
          <w:color w:val="333333"/>
          <w:kern w:val="0"/>
          <w:sz w:val="24"/>
          <w:szCs w:val="24"/>
        </w:rPr>
        <w:t>试卷质量与管理评估、毕业论文（设计）评估两项工作从10月15日开始，到10月31日结束。</w:t>
      </w:r>
    </w:p>
    <w:p w:rsidR="00761179" w:rsidRDefault="00761179" w:rsidP="00761179">
      <w:pPr>
        <w:widowControl/>
        <w:spacing w:line="360" w:lineRule="auto"/>
        <w:ind w:firstLine="561"/>
        <w:jc w:val="left"/>
        <w:rPr>
          <w:rFonts w:ascii="仿宋" w:eastAsia="仿宋" w:hAnsi="仿宋"/>
          <w:b/>
          <w:bCs/>
          <w:color w:val="333333"/>
          <w:sz w:val="24"/>
          <w:szCs w:val="24"/>
        </w:rPr>
      </w:pPr>
    </w:p>
    <w:p w:rsidR="00761179" w:rsidRPr="00B02B71" w:rsidRDefault="00761179" w:rsidP="00761179">
      <w:pPr>
        <w:widowControl/>
        <w:spacing w:line="360" w:lineRule="auto"/>
        <w:ind w:firstLine="561"/>
        <w:jc w:val="left"/>
        <w:rPr>
          <w:rFonts w:ascii="仿宋" w:eastAsia="仿宋" w:hAnsi="仿宋" w:cs="宋体"/>
          <w:bCs/>
          <w:color w:val="333333"/>
          <w:kern w:val="0"/>
          <w:sz w:val="24"/>
          <w:szCs w:val="24"/>
        </w:rPr>
      </w:pPr>
    </w:p>
    <w:p w:rsidR="006402D3" w:rsidRDefault="006402D3"/>
    <w:sectPr w:rsidR="006402D3" w:rsidSect="00693A48">
      <w:headerReference w:type="default" r:id="rId15"/>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EA4" w:rsidRDefault="00A71EA4" w:rsidP="00DB298D">
      <w:r>
        <w:separator/>
      </w:r>
    </w:p>
  </w:endnote>
  <w:endnote w:type="continuationSeparator" w:id="0">
    <w:p w:rsidR="00A71EA4" w:rsidRDefault="00A71EA4" w:rsidP="00DB29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280"/>
      <w:gridCol w:w="7256"/>
    </w:tblGrid>
    <w:tr w:rsidR="00575146">
      <w:tc>
        <w:tcPr>
          <w:tcW w:w="750" w:type="pct"/>
        </w:tcPr>
        <w:p w:rsidR="00575146" w:rsidRDefault="00DB298D">
          <w:pPr>
            <w:pStyle w:val="a4"/>
            <w:jc w:val="right"/>
            <w:rPr>
              <w:color w:val="4F81BD" w:themeColor="accent1"/>
            </w:rPr>
          </w:pPr>
          <w:r>
            <w:fldChar w:fldCharType="begin"/>
          </w:r>
          <w:r w:rsidR="00761179">
            <w:instrText xml:space="preserve"> PAGE   \* MERGEFORMAT </w:instrText>
          </w:r>
          <w:r>
            <w:fldChar w:fldCharType="separate"/>
          </w:r>
          <w:r w:rsidR="00F80F5A" w:rsidRPr="00F80F5A">
            <w:rPr>
              <w:noProof/>
              <w:color w:val="4F81BD" w:themeColor="accent1"/>
              <w:lang w:val="zh-CN"/>
            </w:rPr>
            <w:t>1</w:t>
          </w:r>
          <w:r>
            <w:fldChar w:fldCharType="end"/>
          </w:r>
        </w:p>
      </w:tc>
      <w:tc>
        <w:tcPr>
          <w:tcW w:w="4250" w:type="pct"/>
        </w:tcPr>
        <w:p w:rsidR="00575146" w:rsidRDefault="00A71EA4">
          <w:pPr>
            <w:pStyle w:val="a4"/>
            <w:rPr>
              <w:color w:val="4F81BD" w:themeColor="accent1"/>
            </w:rPr>
          </w:pPr>
        </w:p>
      </w:tc>
    </w:tr>
  </w:tbl>
  <w:p w:rsidR="00575146" w:rsidRDefault="00A71E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EA4" w:rsidRDefault="00A71EA4" w:rsidP="00DB298D">
      <w:r>
        <w:separator/>
      </w:r>
    </w:p>
  </w:footnote>
  <w:footnote w:type="continuationSeparator" w:id="0">
    <w:p w:rsidR="00A71EA4" w:rsidRDefault="00A71EA4" w:rsidP="00DB2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46" w:rsidRDefault="00A71EA4" w:rsidP="00575146">
    <w:pPr>
      <w:pStyle w:val="a3"/>
      <w:pBdr>
        <w:bottom w:val="none" w:sz="0" w:space="0" w:color="auto"/>
      </w:pBdr>
    </w:pPr>
  </w:p>
  <w:p w:rsidR="00575146" w:rsidRDefault="00A71EA4" w:rsidP="0057514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1179"/>
    <w:rsid w:val="00213665"/>
    <w:rsid w:val="0026697F"/>
    <w:rsid w:val="003445AC"/>
    <w:rsid w:val="003E515C"/>
    <w:rsid w:val="00593D58"/>
    <w:rsid w:val="006402D3"/>
    <w:rsid w:val="00761179"/>
    <w:rsid w:val="00A71EA4"/>
    <w:rsid w:val="00AC1E88"/>
    <w:rsid w:val="00C12C14"/>
    <w:rsid w:val="00C27294"/>
    <w:rsid w:val="00DB298D"/>
    <w:rsid w:val="00E6406D"/>
    <w:rsid w:val="00F80F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1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11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1179"/>
    <w:rPr>
      <w:sz w:val="18"/>
      <w:szCs w:val="18"/>
    </w:rPr>
  </w:style>
  <w:style w:type="paragraph" w:styleId="a4">
    <w:name w:val="footer"/>
    <w:basedOn w:val="a"/>
    <w:link w:val="Char0"/>
    <w:uiPriority w:val="99"/>
    <w:unhideWhenUsed/>
    <w:rsid w:val="00761179"/>
    <w:pPr>
      <w:tabs>
        <w:tab w:val="center" w:pos="4153"/>
        <w:tab w:val="right" w:pos="8306"/>
      </w:tabs>
      <w:snapToGrid w:val="0"/>
      <w:jc w:val="left"/>
    </w:pPr>
    <w:rPr>
      <w:sz w:val="18"/>
      <w:szCs w:val="18"/>
    </w:rPr>
  </w:style>
  <w:style w:type="character" w:customStyle="1" w:styleId="Char0">
    <w:name w:val="页脚 Char"/>
    <w:basedOn w:val="a0"/>
    <w:link w:val="a4"/>
    <w:uiPriority w:val="99"/>
    <w:rsid w:val="00761179"/>
    <w:rPr>
      <w:sz w:val="18"/>
      <w:szCs w:val="18"/>
    </w:rPr>
  </w:style>
  <w:style w:type="paragraph" w:styleId="a5">
    <w:name w:val="Balloon Text"/>
    <w:basedOn w:val="a"/>
    <w:link w:val="Char1"/>
    <w:uiPriority w:val="99"/>
    <w:semiHidden/>
    <w:unhideWhenUsed/>
    <w:rsid w:val="00761179"/>
    <w:rPr>
      <w:sz w:val="18"/>
      <w:szCs w:val="18"/>
    </w:rPr>
  </w:style>
  <w:style w:type="character" w:customStyle="1" w:styleId="Char1">
    <w:name w:val="批注框文本 Char"/>
    <w:basedOn w:val="a0"/>
    <w:link w:val="a5"/>
    <w:uiPriority w:val="99"/>
    <w:semiHidden/>
    <w:rsid w:val="0076117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oleObject" Target="Book5"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17-2018&#23398;&#24180;&#26149;&#23398;&#26399;\&#26149;&#23398;&#26399;&#35780;&#20248;\&#20998;&#26512;&#25253;&#21578;\718&#38498;&#357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8"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9"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Book1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17-2018&#23398;&#24180;&#26149;&#23398;&#26399;\&#26149;&#23398;&#26399;&#35780;&#20248;\&#20998;&#26512;&#25253;&#21578;\&#23398;&#24180;&#21512;&#26684;&#35780;&#20215;&#38498;&#35780;&#25104;&#3248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17-2018&#23398;&#24180;&#26149;&#23398;&#26399;\&#26149;&#23398;&#26399;&#35780;&#20248;\&#20998;&#26512;&#25253;&#21578;\&#26149;&#23398;&#26399;&#21512;&#26684;\&#26149;&#23398;&#26399;&#21512;&#26684;&#35780;&#20215;&#33258;&#35780;&#25104;&#3248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istrator\Desktop\2017-2018&#23398;&#24180;&#26149;&#23398;&#26399;\&#26149;&#23398;&#26399;&#35780;&#20248;\&#20998;&#26512;&#25253;&#21578;\&#23398;&#24180;&#21512;&#26684;&#35780;&#20215;&#23398;&#29983;&#35780;&#25945;&#25104;&#3248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pivotSource>
    <c:name>[718优.xlsx]Sheet6!数据透视表6</c:name>
    <c:fmtId val="-1"/>
  </c:pivotSource>
  <c:chart>
    <c:title>
      <c:tx>
        <c:rich>
          <a:bodyPr/>
          <a:lstStyle/>
          <a:p>
            <a:pPr>
              <a:defRPr/>
            </a:pPr>
            <a:r>
              <a:rPr lang="zh-CN" altLang="en-US" sz="1200"/>
              <a:t>教师课程教学质量优秀评价学校评价成绩分布图</a:t>
            </a:r>
          </a:p>
        </c:rich>
      </c:tx>
    </c:title>
    <c:pivotFmts>
      <c:pivotFmt>
        <c:idx val="0"/>
        <c:marker>
          <c:symbol val="none"/>
        </c:marker>
        <c:dLbl>
          <c:idx val="0"/>
          <c:spPr/>
          <c:txPr>
            <a:bodyPr/>
            <a:lstStyle/>
            <a:p>
              <a:pPr>
                <a:defRPr/>
              </a:pPr>
              <a:endParaRPr lang="zh-CN"/>
            </a:p>
          </c:txPr>
          <c:showVal val="1"/>
        </c:dLbl>
      </c:pivotFmt>
      <c:pivotFmt>
        <c:idx val="1"/>
        <c:marker>
          <c:symbol val="none"/>
        </c:marker>
        <c:dLbl>
          <c:idx val="0"/>
          <c:spPr/>
          <c:txPr>
            <a:bodyPr/>
            <a:lstStyle/>
            <a:p>
              <a:pPr>
                <a:defRPr/>
              </a:pPr>
              <a:endParaRPr lang="zh-CN"/>
            </a:p>
          </c:txPr>
          <c:showVal val="1"/>
        </c:dLbl>
      </c:pivotFmt>
    </c:pivotFmts>
    <c:plotArea>
      <c:layout/>
      <c:barChart>
        <c:barDir val="col"/>
        <c:grouping val="clustered"/>
        <c:ser>
          <c:idx val="0"/>
          <c:order val="0"/>
          <c:tx>
            <c:strRef>
              <c:f>Sheet6!$B$3</c:f>
              <c:strCache>
                <c:ptCount val="1"/>
                <c:pt idx="0">
                  <c:v>汇总</c:v>
                </c:pt>
              </c:strCache>
            </c:strRef>
          </c:tx>
          <c:dLbls>
            <c:txPr>
              <a:bodyPr/>
              <a:lstStyle/>
              <a:p>
                <a:pPr>
                  <a:defRPr/>
                </a:pPr>
                <a:endParaRPr lang="zh-CN"/>
              </a:p>
            </c:txPr>
            <c:showVal val="1"/>
          </c:dLbls>
          <c:cat>
            <c:strRef>
              <c:f>Sheet6!$A$4:$A$35</c:f>
              <c:strCache>
                <c:ptCount val="31"/>
                <c:pt idx="0">
                  <c:v>76.7 </c:v>
                </c:pt>
                <c:pt idx="1">
                  <c:v>83.0 </c:v>
                </c:pt>
                <c:pt idx="2">
                  <c:v>83.3 </c:v>
                </c:pt>
                <c:pt idx="3">
                  <c:v>83.7 </c:v>
                </c:pt>
                <c:pt idx="4">
                  <c:v>85.3 </c:v>
                </c:pt>
                <c:pt idx="5">
                  <c:v>86.0 </c:v>
                </c:pt>
                <c:pt idx="6">
                  <c:v>87.3 </c:v>
                </c:pt>
                <c:pt idx="7">
                  <c:v>87.7 </c:v>
                </c:pt>
                <c:pt idx="8">
                  <c:v>88.7 </c:v>
                </c:pt>
                <c:pt idx="9">
                  <c:v>90.0 </c:v>
                </c:pt>
                <c:pt idx="10">
                  <c:v>90.3 </c:v>
                </c:pt>
                <c:pt idx="11">
                  <c:v>90.7 </c:v>
                </c:pt>
                <c:pt idx="12">
                  <c:v>91.0 </c:v>
                </c:pt>
                <c:pt idx="13">
                  <c:v>91.3 </c:v>
                </c:pt>
                <c:pt idx="14">
                  <c:v>91.7 </c:v>
                </c:pt>
                <c:pt idx="15">
                  <c:v>92.0 </c:v>
                </c:pt>
                <c:pt idx="16">
                  <c:v>92.3 </c:v>
                </c:pt>
                <c:pt idx="17">
                  <c:v>92.7 </c:v>
                </c:pt>
                <c:pt idx="18">
                  <c:v>93.0 </c:v>
                </c:pt>
                <c:pt idx="19">
                  <c:v>93.3 </c:v>
                </c:pt>
                <c:pt idx="20">
                  <c:v>93.7 </c:v>
                </c:pt>
                <c:pt idx="21">
                  <c:v>94.0 </c:v>
                </c:pt>
                <c:pt idx="22">
                  <c:v>94.3 </c:v>
                </c:pt>
                <c:pt idx="23">
                  <c:v>94.7 </c:v>
                </c:pt>
                <c:pt idx="24">
                  <c:v>95.0 </c:v>
                </c:pt>
                <c:pt idx="25">
                  <c:v>95.3 </c:v>
                </c:pt>
                <c:pt idx="26">
                  <c:v>95.7 </c:v>
                </c:pt>
                <c:pt idx="27">
                  <c:v>96.0 </c:v>
                </c:pt>
                <c:pt idx="28">
                  <c:v>96.3 </c:v>
                </c:pt>
                <c:pt idx="29">
                  <c:v>97.3 </c:v>
                </c:pt>
                <c:pt idx="30">
                  <c:v>97.7 </c:v>
                </c:pt>
              </c:strCache>
            </c:strRef>
          </c:cat>
          <c:val>
            <c:numRef>
              <c:f>Sheet6!$B$4:$B$35</c:f>
              <c:numCache>
                <c:formatCode>General</c:formatCode>
                <c:ptCount val="31"/>
                <c:pt idx="0">
                  <c:v>1</c:v>
                </c:pt>
                <c:pt idx="1">
                  <c:v>1</c:v>
                </c:pt>
                <c:pt idx="2">
                  <c:v>1</c:v>
                </c:pt>
                <c:pt idx="3">
                  <c:v>1</c:v>
                </c:pt>
                <c:pt idx="4">
                  <c:v>1</c:v>
                </c:pt>
                <c:pt idx="5">
                  <c:v>1</c:v>
                </c:pt>
                <c:pt idx="6">
                  <c:v>2</c:v>
                </c:pt>
                <c:pt idx="7">
                  <c:v>1</c:v>
                </c:pt>
                <c:pt idx="8">
                  <c:v>1</c:v>
                </c:pt>
                <c:pt idx="9">
                  <c:v>9</c:v>
                </c:pt>
                <c:pt idx="10">
                  <c:v>9</c:v>
                </c:pt>
                <c:pt idx="11">
                  <c:v>5</c:v>
                </c:pt>
                <c:pt idx="12">
                  <c:v>11</c:v>
                </c:pt>
                <c:pt idx="13">
                  <c:v>7</c:v>
                </c:pt>
                <c:pt idx="14">
                  <c:v>6</c:v>
                </c:pt>
                <c:pt idx="15">
                  <c:v>8</c:v>
                </c:pt>
                <c:pt idx="16">
                  <c:v>11</c:v>
                </c:pt>
                <c:pt idx="17">
                  <c:v>12</c:v>
                </c:pt>
                <c:pt idx="18">
                  <c:v>8</c:v>
                </c:pt>
                <c:pt idx="19">
                  <c:v>14</c:v>
                </c:pt>
                <c:pt idx="20">
                  <c:v>8</c:v>
                </c:pt>
                <c:pt idx="21">
                  <c:v>10</c:v>
                </c:pt>
                <c:pt idx="22">
                  <c:v>12</c:v>
                </c:pt>
                <c:pt idx="23">
                  <c:v>8</c:v>
                </c:pt>
                <c:pt idx="24">
                  <c:v>9</c:v>
                </c:pt>
                <c:pt idx="25">
                  <c:v>3</c:v>
                </c:pt>
                <c:pt idx="26">
                  <c:v>6</c:v>
                </c:pt>
                <c:pt idx="27">
                  <c:v>2</c:v>
                </c:pt>
                <c:pt idx="28">
                  <c:v>5</c:v>
                </c:pt>
                <c:pt idx="29">
                  <c:v>1</c:v>
                </c:pt>
                <c:pt idx="30">
                  <c:v>1</c:v>
                </c:pt>
              </c:numCache>
            </c:numRef>
          </c:val>
        </c:ser>
        <c:axId val="207135104"/>
        <c:axId val="207172736"/>
      </c:barChart>
      <c:catAx>
        <c:axId val="207135104"/>
        <c:scaling>
          <c:orientation val="minMax"/>
        </c:scaling>
        <c:axPos val="b"/>
        <c:tickLblPos val="nextTo"/>
        <c:txPr>
          <a:bodyPr/>
          <a:lstStyle/>
          <a:p>
            <a:pPr>
              <a:defRPr sz="700" baseline="0"/>
            </a:pPr>
            <a:endParaRPr lang="zh-CN"/>
          </a:p>
        </c:txPr>
        <c:crossAx val="207172736"/>
        <c:crosses val="autoZero"/>
        <c:auto val="1"/>
        <c:lblAlgn val="ctr"/>
        <c:lblOffset val="100"/>
      </c:catAx>
      <c:valAx>
        <c:axId val="207172736"/>
        <c:scaling>
          <c:orientation val="minMax"/>
        </c:scaling>
        <c:axPos val="l"/>
        <c:majorGridlines/>
        <c:numFmt formatCode="General" sourceLinked="1"/>
        <c:tickLblPos val="nextTo"/>
        <c:crossAx val="20713510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pivotSource>
    <c:name>[718院评.xlsx]Sheet11!数据透视表14</c:name>
    <c:fmtId val="-1"/>
  </c:pivotSource>
  <c:chart>
    <c:title>
      <c:tx>
        <c:rich>
          <a:bodyPr/>
          <a:lstStyle/>
          <a:p>
            <a:pPr>
              <a:defRPr/>
            </a:pPr>
            <a:r>
              <a:rPr lang="zh-CN" altLang="en-US" sz="1200"/>
              <a:t>教师课程教学质量优秀评价学院评价成绩分布图</a:t>
            </a:r>
          </a:p>
        </c:rich>
      </c:tx>
    </c:title>
    <c:pivotFmts>
      <c:pivotFmt>
        <c:idx val="0"/>
        <c:marker>
          <c:symbol val="none"/>
        </c:marker>
        <c:dLbl>
          <c:idx val="0"/>
          <c:spPr/>
          <c:txPr>
            <a:bodyPr/>
            <a:lstStyle/>
            <a:p>
              <a:pPr>
                <a:defRPr/>
              </a:pPr>
              <a:endParaRPr lang="zh-CN"/>
            </a:p>
          </c:txPr>
          <c:showVal val="1"/>
        </c:dLbl>
      </c:pivotFmt>
      <c:pivotFmt>
        <c:idx val="1"/>
        <c:marker>
          <c:symbol val="none"/>
        </c:marker>
        <c:dLbl>
          <c:idx val="0"/>
          <c:spPr/>
          <c:txPr>
            <a:bodyPr/>
            <a:lstStyle/>
            <a:p>
              <a:pPr>
                <a:defRPr/>
              </a:pPr>
              <a:endParaRPr lang="zh-CN"/>
            </a:p>
          </c:txPr>
          <c:showVal val="1"/>
        </c:dLbl>
      </c:pivotFmt>
    </c:pivotFmts>
    <c:plotArea>
      <c:layout/>
      <c:barChart>
        <c:barDir val="col"/>
        <c:grouping val="clustered"/>
        <c:ser>
          <c:idx val="0"/>
          <c:order val="0"/>
          <c:tx>
            <c:strRef>
              <c:f>Sheet11!$B$3</c:f>
              <c:strCache>
                <c:ptCount val="1"/>
                <c:pt idx="0">
                  <c:v>汇总</c:v>
                </c:pt>
              </c:strCache>
            </c:strRef>
          </c:tx>
          <c:dLbls>
            <c:txPr>
              <a:bodyPr/>
              <a:lstStyle/>
              <a:p>
                <a:pPr>
                  <a:defRPr/>
                </a:pPr>
                <a:endParaRPr lang="zh-CN"/>
              </a:p>
            </c:txPr>
            <c:showVal val="1"/>
          </c:dLbls>
          <c:cat>
            <c:strRef>
              <c:f>Sheet11!$A$4:$A$12</c:f>
              <c:strCache>
                <c:ptCount val="8"/>
                <c:pt idx="0">
                  <c:v>80分以下</c:v>
                </c:pt>
                <c:pt idx="1">
                  <c:v>80.1-85.0</c:v>
                </c:pt>
                <c:pt idx="2">
                  <c:v>85.1-90.0</c:v>
                </c:pt>
                <c:pt idx="3">
                  <c:v>90.1-92.0</c:v>
                </c:pt>
                <c:pt idx="4">
                  <c:v>92.1-94.0</c:v>
                </c:pt>
                <c:pt idx="5">
                  <c:v>94.1-96.0</c:v>
                </c:pt>
                <c:pt idx="6">
                  <c:v>96.1-98.0</c:v>
                </c:pt>
                <c:pt idx="7">
                  <c:v>99.0-100</c:v>
                </c:pt>
              </c:strCache>
            </c:strRef>
          </c:cat>
          <c:val>
            <c:numRef>
              <c:f>Sheet11!$B$4:$B$12</c:f>
              <c:numCache>
                <c:formatCode>General</c:formatCode>
                <c:ptCount val="8"/>
                <c:pt idx="0">
                  <c:v>1</c:v>
                </c:pt>
                <c:pt idx="1">
                  <c:v>1</c:v>
                </c:pt>
                <c:pt idx="2">
                  <c:v>1</c:v>
                </c:pt>
                <c:pt idx="3">
                  <c:v>17</c:v>
                </c:pt>
                <c:pt idx="4">
                  <c:v>64</c:v>
                </c:pt>
                <c:pt idx="5">
                  <c:v>63</c:v>
                </c:pt>
                <c:pt idx="6">
                  <c:v>27</c:v>
                </c:pt>
                <c:pt idx="7">
                  <c:v>1</c:v>
                </c:pt>
              </c:numCache>
            </c:numRef>
          </c:val>
        </c:ser>
        <c:axId val="207774848"/>
        <c:axId val="207815424"/>
      </c:barChart>
      <c:catAx>
        <c:axId val="207774848"/>
        <c:scaling>
          <c:orientation val="minMax"/>
        </c:scaling>
        <c:axPos val="b"/>
        <c:tickLblPos val="nextTo"/>
        <c:txPr>
          <a:bodyPr/>
          <a:lstStyle/>
          <a:p>
            <a:pPr>
              <a:defRPr sz="800" baseline="0"/>
            </a:pPr>
            <a:endParaRPr lang="zh-CN"/>
          </a:p>
        </c:txPr>
        <c:crossAx val="207815424"/>
        <c:crosses val="autoZero"/>
        <c:auto val="1"/>
        <c:lblAlgn val="ctr"/>
        <c:lblOffset val="100"/>
      </c:catAx>
      <c:valAx>
        <c:axId val="207815424"/>
        <c:scaling>
          <c:orientation val="minMax"/>
        </c:scaling>
        <c:axPos val="l"/>
        <c:majorGridlines/>
        <c:numFmt formatCode="General" sourceLinked="1"/>
        <c:tickLblPos val="nextTo"/>
        <c:crossAx val="20777484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pivotSource>
    <c:name>[Book8]Sheet4!数据透视表18</c:name>
    <c:fmtId val="-1"/>
  </c:pivotSource>
  <c:chart>
    <c:title>
      <c:tx>
        <c:rich>
          <a:bodyPr/>
          <a:lstStyle/>
          <a:p>
            <a:pPr>
              <a:defRPr/>
            </a:pPr>
            <a:r>
              <a:rPr lang="zh-CN" altLang="en-US" sz="1200"/>
              <a:t>教师课程教学质量优秀评价教师自评成绩分布图</a:t>
            </a:r>
          </a:p>
        </c:rich>
      </c:tx>
    </c:title>
    <c:pivotFmts>
      <c:pivotFmt>
        <c:idx val="0"/>
        <c:marker>
          <c:symbol val="none"/>
        </c:marker>
        <c:dLbl>
          <c:idx val="0"/>
          <c:spPr/>
          <c:txPr>
            <a:bodyPr/>
            <a:lstStyle/>
            <a:p>
              <a:pPr>
                <a:defRPr/>
              </a:pPr>
              <a:endParaRPr lang="zh-CN"/>
            </a:p>
          </c:txPr>
          <c:showVal val="1"/>
        </c:dLbl>
      </c:pivotFmt>
      <c:pivotFmt>
        <c:idx val="1"/>
        <c:marker>
          <c:symbol val="none"/>
        </c:marker>
        <c:dLbl>
          <c:idx val="0"/>
          <c:spPr/>
          <c:txPr>
            <a:bodyPr/>
            <a:lstStyle/>
            <a:p>
              <a:pPr>
                <a:defRPr/>
              </a:pPr>
              <a:endParaRPr lang="zh-CN"/>
            </a:p>
          </c:txPr>
          <c:showVal val="1"/>
        </c:dLbl>
      </c:pivotFmt>
    </c:pivotFmts>
    <c:plotArea>
      <c:layout/>
      <c:barChart>
        <c:barDir val="col"/>
        <c:grouping val="clustered"/>
        <c:ser>
          <c:idx val="0"/>
          <c:order val="0"/>
          <c:tx>
            <c:strRef>
              <c:f>Sheet4!$B$3</c:f>
              <c:strCache>
                <c:ptCount val="1"/>
                <c:pt idx="0">
                  <c:v>汇总</c:v>
                </c:pt>
              </c:strCache>
            </c:strRef>
          </c:tx>
          <c:dLbls>
            <c:txPr>
              <a:bodyPr/>
              <a:lstStyle/>
              <a:p>
                <a:pPr>
                  <a:defRPr/>
                </a:pPr>
                <a:endParaRPr lang="zh-CN"/>
              </a:p>
            </c:txPr>
            <c:showVal val="1"/>
          </c:dLbls>
          <c:cat>
            <c:strRef>
              <c:f>Sheet4!$A$4:$A$17</c:f>
              <c:strCache>
                <c:ptCount val="13"/>
                <c:pt idx="0">
                  <c:v>90.0 </c:v>
                </c:pt>
                <c:pt idx="1">
                  <c:v>91.0 </c:v>
                </c:pt>
                <c:pt idx="2">
                  <c:v>92.0 </c:v>
                </c:pt>
                <c:pt idx="3">
                  <c:v>93.0 </c:v>
                </c:pt>
                <c:pt idx="4">
                  <c:v>94.0 </c:v>
                </c:pt>
                <c:pt idx="5">
                  <c:v>95.0 </c:v>
                </c:pt>
                <c:pt idx="6">
                  <c:v>96.0 </c:v>
                </c:pt>
                <c:pt idx="7">
                  <c:v>97.0 </c:v>
                </c:pt>
                <c:pt idx="8">
                  <c:v>98.0 </c:v>
                </c:pt>
                <c:pt idx="9">
                  <c:v>99.0 </c:v>
                </c:pt>
                <c:pt idx="10">
                  <c:v>99.8 </c:v>
                </c:pt>
                <c:pt idx="11">
                  <c:v>99.8 </c:v>
                </c:pt>
                <c:pt idx="12">
                  <c:v>100.0 </c:v>
                </c:pt>
              </c:strCache>
            </c:strRef>
          </c:cat>
          <c:val>
            <c:numRef>
              <c:f>Sheet4!$B$4:$B$17</c:f>
              <c:numCache>
                <c:formatCode>General</c:formatCode>
                <c:ptCount val="13"/>
                <c:pt idx="0">
                  <c:v>1</c:v>
                </c:pt>
                <c:pt idx="1">
                  <c:v>1</c:v>
                </c:pt>
                <c:pt idx="2">
                  <c:v>2</c:v>
                </c:pt>
                <c:pt idx="3">
                  <c:v>4</c:v>
                </c:pt>
                <c:pt idx="4">
                  <c:v>8</c:v>
                </c:pt>
                <c:pt idx="5">
                  <c:v>19</c:v>
                </c:pt>
                <c:pt idx="6">
                  <c:v>9</c:v>
                </c:pt>
                <c:pt idx="7">
                  <c:v>15</c:v>
                </c:pt>
                <c:pt idx="8">
                  <c:v>5</c:v>
                </c:pt>
                <c:pt idx="9">
                  <c:v>16</c:v>
                </c:pt>
                <c:pt idx="10">
                  <c:v>1</c:v>
                </c:pt>
                <c:pt idx="11">
                  <c:v>1</c:v>
                </c:pt>
                <c:pt idx="12">
                  <c:v>1</c:v>
                </c:pt>
              </c:numCache>
            </c:numRef>
          </c:val>
        </c:ser>
        <c:axId val="207915648"/>
        <c:axId val="207917824"/>
      </c:barChart>
      <c:catAx>
        <c:axId val="207915648"/>
        <c:scaling>
          <c:orientation val="minMax"/>
        </c:scaling>
        <c:axPos val="b"/>
        <c:tickLblPos val="nextTo"/>
        <c:crossAx val="207917824"/>
        <c:crosses val="autoZero"/>
        <c:auto val="1"/>
        <c:lblAlgn val="ctr"/>
        <c:lblOffset val="100"/>
      </c:catAx>
      <c:valAx>
        <c:axId val="207917824"/>
        <c:scaling>
          <c:orientation val="minMax"/>
        </c:scaling>
        <c:axPos val="l"/>
        <c:majorGridlines/>
        <c:numFmt formatCode="General" sourceLinked="1"/>
        <c:tickLblPos val="nextTo"/>
        <c:crossAx val="207915648"/>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7.1988407699037624E-2"/>
          <c:y val="0.1810301837270363"/>
          <c:w val="0.89745603674540686"/>
          <c:h val="0.58553368328958877"/>
        </c:manualLayout>
      </c:layout>
      <c:barChart>
        <c:barDir val="col"/>
        <c:grouping val="clustered"/>
        <c:ser>
          <c:idx val="0"/>
          <c:order val="0"/>
          <c:dLbls>
            <c:showVal val="1"/>
          </c:dLbls>
          <c:cat>
            <c:strRef>
              <c:f>Sheet4!$C$4:$C$14</c:f>
              <c:strCache>
                <c:ptCount val="11"/>
                <c:pt idx="0">
                  <c:v>90分以下</c:v>
                </c:pt>
                <c:pt idx="1">
                  <c:v>90.1-91.0</c:v>
                </c:pt>
                <c:pt idx="2">
                  <c:v>91.1-92.0</c:v>
                </c:pt>
                <c:pt idx="3">
                  <c:v>92.1-93.0</c:v>
                </c:pt>
                <c:pt idx="4">
                  <c:v>93.1-94.0</c:v>
                </c:pt>
                <c:pt idx="5">
                  <c:v>94.1-95.0</c:v>
                </c:pt>
                <c:pt idx="6">
                  <c:v>95.1-96.0</c:v>
                </c:pt>
                <c:pt idx="7">
                  <c:v>96.1-97.0</c:v>
                </c:pt>
                <c:pt idx="8">
                  <c:v>97.1-98.0</c:v>
                </c:pt>
                <c:pt idx="9">
                  <c:v>98.1-99.0</c:v>
                </c:pt>
                <c:pt idx="10">
                  <c:v>99.1以上</c:v>
                </c:pt>
              </c:strCache>
            </c:strRef>
          </c:cat>
          <c:val>
            <c:numRef>
              <c:f>Sheet4!$D$4:$D$14</c:f>
              <c:numCache>
                <c:formatCode>General</c:formatCode>
                <c:ptCount val="11"/>
                <c:pt idx="0">
                  <c:v>1</c:v>
                </c:pt>
                <c:pt idx="1">
                  <c:v>2</c:v>
                </c:pt>
                <c:pt idx="2">
                  <c:v>3</c:v>
                </c:pt>
                <c:pt idx="3">
                  <c:v>6</c:v>
                </c:pt>
                <c:pt idx="4">
                  <c:v>8</c:v>
                </c:pt>
                <c:pt idx="5">
                  <c:v>21</c:v>
                </c:pt>
                <c:pt idx="6">
                  <c:v>19</c:v>
                </c:pt>
                <c:pt idx="7">
                  <c:v>30</c:v>
                </c:pt>
                <c:pt idx="8">
                  <c:v>35</c:v>
                </c:pt>
                <c:pt idx="9">
                  <c:v>38</c:v>
                </c:pt>
                <c:pt idx="10">
                  <c:v>12</c:v>
                </c:pt>
              </c:numCache>
            </c:numRef>
          </c:val>
        </c:ser>
        <c:ser>
          <c:idx val="1"/>
          <c:order val="1"/>
          <c:tx>
            <c:v>教学质量 </c:v>
          </c:tx>
          <c:val>
            <c:numLit>
              <c:formatCode>General</c:formatCode>
              <c:ptCount val="1"/>
              <c:pt idx="0">
                <c:v>1</c:v>
              </c:pt>
            </c:numLit>
          </c:val>
        </c:ser>
        <c:axId val="208140160"/>
        <c:axId val="208141696"/>
      </c:barChart>
      <c:catAx>
        <c:axId val="208140160"/>
        <c:scaling>
          <c:orientation val="minMax"/>
        </c:scaling>
        <c:axPos val="b"/>
        <c:tickLblPos val="nextTo"/>
        <c:crossAx val="208141696"/>
        <c:crosses val="autoZero"/>
        <c:auto val="1"/>
        <c:lblAlgn val="ctr"/>
        <c:lblOffset val="100"/>
      </c:catAx>
      <c:valAx>
        <c:axId val="208141696"/>
        <c:scaling>
          <c:orientation val="minMax"/>
        </c:scaling>
        <c:axPos val="l"/>
        <c:majorGridlines/>
        <c:numFmt formatCode="General" sourceLinked="1"/>
        <c:tickLblPos val="nextTo"/>
        <c:crossAx val="208140160"/>
        <c:crosses val="autoZero"/>
        <c:crossBetween val="between"/>
      </c:valAx>
    </c:plotArea>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6.3233517581825452E-2"/>
          <c:y val="0.13911705918650041"/>
          <c:w val="0.9064132815351722"/>
          <c:h val="0.67819957544677889"/>
        </c:manualLayout>
      </c:layout>
      <c:barChart>
        <c:barDir val="col"/>
        <c:grouping val="clustered"/>
        <c:ser>
          <c:idx val="0"/>
          <c:order val="0"/>
          <c:dLbls>
            <c:showVal val="1"/>
          </c:dLbls>
          <c:cat>
            <c:strRef>
              <c:f>Sheet1!$D$1:$D$10</c:f>
              <c:strCache>
                <c:ptCount val="10"/>
                <c:pt idx="0">
                  <c:v>88.2</c:v>
                </c:pt>
                <c:pt idx="1">
                  <c:v>90.1-91.0</c:v>
                </c:pt>
                <c:pt idx="2">
                  <c:v>91.1-92.0</c:v>
                </c:pt>
                <c:pt idx="3">
                  <c:v>92.1-93.0</c:v>
                </c:pt>
                <c:pt idx="4">
                  <c:v>93.1-94.0</c:v>
                </c:pt>
                <c:pt idx="5">
                  <c:v>94.1-95.0</c:v>
                </c:pt>
                <c:pt idx="6">
                  <c:v>95.1-96.0</c:v>
                </c:pt>
                <c:pt idx="7">
                  <c:v>96.1-97.0</c:v>
                </c:pt>
                <c:pt idx="8">
                  <c:v>97.1-98.0</c:v>
                </c:pt>
                <c:pt idx="9">
                  <c:v>98.1-99.0</c:v>
                </c:pt>
              </c:strCache>
            </c:strRef>
          </c:cat>
          <c:val>
            <c:numRef>
              <c:f>Sheet1!$E$1:$E$10</c:f>
              <c:numCache>
                <c:formatCode>General</c:formatCode>
                <c:ptCount val="10"/>
                <c:pt idx="0">
                  <c:v>1</c:v>
                </c:pt>
                <c:pt idx="1">
                  <c:v>4</c:v>
                </c:pt>
                <c:pt idx="2">
                  <c:v>4</c:v>
                </c:pt>
                <c:pt idx="3">
                  <c:v>11</c:v>
                </c:pt>
                <c:pt idx="4">
                  <c:v>22</c:v>
                </c:pt>
                <c:pt idx="5">
                  <c:v>45</c:v>
                </c:pt>
                <c:pt idx="6">
                  <c:v>57</c:v>
                </c:pt>
                <c:pt idx="7">
                  <c:v>25</c:v>
                </c:pt>
                <c:pt idx="8">
                  <c:v>5</c:v>
                </c:pt>
                <c:pt idx="9">
                  <c:v>1</c:v>
                </c:pt>
              </c:numCache>
            </c:numRef>
          </c:val>
        </c:ser>
        <c:axId val="116449280"/>
        <c:axId val="116450816"/>
      </c:barChart>
      <c:catAx>
        <c:axId val="116449280"/>
        <c:scaling>
          <c:orientation val="minMax"/>
        </c:scaling>
        <c:axPos val="b"/>
        <c:tickLblPos val="nextTo"/>
        <c:txPr>
          <a:bodyPr/>
          <a:lstStyle/>
          <a:p>
            <a:pPr>
              <a:defRPr sz="850" baseline="0"/>
            </a:pPr>
            <a:endParaRPr lang="zh-CN"/>
          </a:p>
        </c:txPr>
        <c:crossAx val="116450816"/>
        <c:crosses val="autoZero"/>
        <c:auto val="1"/>
        <c:lblAlgn val="ctr"/>
        <c:lblOffset val="100"/>
      </c:catAx>
      <c:valAx>
        <c:axId val="116450816"/>
        <c:scaling>
          <c:orientation val="minMax"/>
        </c:scaling>
        <c:axPos val="l"/>
        <c:majorGridlines/>
        <c:numFmt formatCode="General" sourceLinked="1"/>
        <c:tickLblPos val="nextTo"/>
        <c:crossAx val="116449280"/>
        <c:crosses val="autoZero"/>
        <c:crossBetween val="between"/>
      </c:valAx>
    </c:plotArea>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pivotSource>
    <c:name>[学年合格评价院评成绩.xlsx]Sheet4!数据透视表6</c:name>
    <c:fmtId val="-1"/>
  </c:pivotSource>
  <c:chart>
    <c:title>
      <c:tx>
        <c:rich>
          <a:bodyPr/>
          <a:lstStyle/>
          <a:p>
            <a:pPr>
              <a:defRPr sz="1200"/>
            </a:pPr>
            <a:r>
              <a:rPr lang="zh-CN" altLang="en-US" sz="1200"/>
              <a:t>教师课程教学质量合格评价学院评价成绩分布图</a:t>
            </a:r>
          </a:p>
        </c:rich>
      </c:tx>
      <c:layout>
        <c:manualLayout>
          <c:xMode val="edge"/>
          <c:yMode val="edge"/>
          <c:x val="0.19013188976377937"/>
          <c:y val="1.3888888888889039E-2"/>
        </c:manualLayout>
      </c:layout>
    </c:title>
    <c:pivotFmts>
      <c:pivotFmt>
        <c:idx val="0"/>
        <c:marker>
          <c:symbol val="none"/>
        </c:marker>
        <c:dLbl>
          <c:idx val="0"/>
          <c:spPr/>
          <c:txPr>
            <a:bodyPr/>
            <a:lstStyle/>
            <a:p>
              <a:pPr>
                <a:defRPr/>
              </a:pPr>
              <a:endParaRPr lang="zh-CN"/>
            </a:p>
          </c:txPr>
          <c:showVal val="1"/>
        </c:dLbl>
      </c:pivotFmt>
      <c:pivotFmt>
        <c:idx val="1"/>
        <c:marker>
          <c:symbol val="none"/>
        </c:marker>
        <c:dLbl>
          <c:idx val="0"/>
          <c:spPr/>
          <c:txPr>
            <a:bodyPr/>
            <a:lstStyle/>
            <a:p>
              <a:pPr>
                <a:defRPr/>
              </a:pPr>
              <a:endParaRPr lang="zh-CN"/>
            </a:p>
          </c:txPr>
          <c:showVal val="1"/>
        </c:dLbl>
      </c:pivotFmt>
    </c:pivotFmts>
    <c:plotArea>
      <c:layout/>
      <c:barChart>
        <c:barDir val="col"/>
        <c:grouping val="clustered"/>
        <c:ser>
          <c:idx val="0"/>
          <c:order val="0"/>
          <c:tx>
            <c:strRef>
              <c:f>Sheet4!$B$3</c:f>
              <c:strCache>
                <c:ptCount val="1"/>
                <c:pt idx="0">
                  <c:v>汇总</c:v>
                </c:pt>
              </c:strCache>
            </c:strRef>
          </c:tx>
          <c:dLbls>
            <c:txPr>
              <a:bodyPr/>
              <a:lstStyle/>
              <a:p>
                <a:pPr>
                  <a:defRPr/>
                </a:pPr>
                <a:endParaRPr lang="zh-CN"/>
              </a:p>
            </c:txPr>
            <c:showVal val="1"/>
          </c:dLbls>
          <c:cat>
            <c:strRef>
              <c:f>Sheet4!$A$4:$A$29</c:f>
              <c:strCache>
                <c:ptCount val="25"/>
                <c:pt idx="0">
                  <c:v>78.7</c:v>
                </c:pt>
                <c:pt idx="1">
                  <c:v>83</c:v>
                </c:pt>
                <c:pt idx="2">
                  <c:v>84</c:v>
                </c:pt>
                <c:pt idx="3">
                  <c:v>86</c:v>
                </c:pt>
                <c:pt idx="4">
                  <c:v>86.1</c:v>
                </c:pt>
                <c:pt idx="5">
                  <c:v>87</c:v>
                </c:pt>
                <c:pt idx="6">
                  <c:v>88</c:v>
                </c:pt>
                <c:pt idx="7">
                  <c:v>89</c:v>
                </c:pt>
                <c:pt idx="8">
                  <c:v>89.3</c:v>
                </c:pt>
                <c:pt idx="9">
                  <c:v>90</c:v>
                </c:pt>
                <c:pt idx="10">
                  <c:v>90.3</c:v>
                </c:pt>
                <c:pt idx="11">
                  <c:v>91</c:v>
                </c:pt>
                <c:pt idx="12">
                  <c:v>92</c:v>
                </c:pt>
                <c:pt idx="13">
                  <c:v>92.25</c:v>
                </c:pt>
                <c:pt idx="14">
                  <c:v>92.3</c:v>
                </c:pt>
                <c:pt idx="15">
                  <c:v>93</c:v>
                </c:pt>
                <c:pt idx="16">
                  <c:v>93.7</c:v>
                </c:pt>
                <c:pt idx="17">
                  <c:v>94</c:v>
                </c:pt>
                <c:pt idx="18">
                  <c:v>94.7</c:v>
                </c:pt>
                <c:pt idx="19">
                  <c:v>95</c:v>
                </c:pt>
                <c:pt idx="20">
                  <c:v>96</c:v>
                </c:pt>
                <c:pt idx="21">
                  <c:v>96.7</c:v>
                </c:pt>
                <c:pt idx="22">
                  <c:v>97</c:v>
                </c:pt>
                <c:pt idx="23">
                  <c:v>98</c:v>
                </c:pt>
                <c:pt idx="24">
                  <c:v>99</c:v>
                </c:pt>
              </c:strCache>
            </c:strRef>
          </c:cat>
          <c:val>
            <c:numRef>
              <c:f>Sheet4!$B$4:$B$29</c:f>
              <c:numCache>
                <c:formatCode>General</c:formatCode>
                <c:ptCount val="25"/>
                <c:pt idx="0">
                  <c:v>1</c:v>
                </c:pt>
                <c:pt idx="1">
                  <c:v>1</c:v>
                </c:pt>
                <c:pt idx="2">
                  <c:v>1</c:v>
                </c:pt>
                <c:pt idx="3">
                  <c:v>2</c:v>
                </c:pt>
                <c:pt idx="4">
                  <c:v>1</c:v>
                </c:pt>
                <c:pt idx="5">
                  <c:v>1</c:v>
                </c:pt>
                <c:pt idx="6">
                  <c:v>3</c:v>
                </c:pt>
                <c:pt idx="7">
                  <c:v>5</c:v>
                </c:pt>
                <c:pt idx="8">
                  <c:v>1</c:v>
                </c:pt>
                <c:pt idx="9">
                  <c:v>9</c:v>
                </c:pt>
                <c:pt idx="10">
                  <c:v>2</c:v>
                </c:pt>
                <c:pt idx="11">
                  <c:v>4</c:v>
                </c:pt>
                <c:pt idx="12">
                  <c:v>6</c:v>
                </c:pt>
                <c:pt idx="13">
                  <c:v>1</c:v>
                </c:pt>
                <c:pt idx="14">
                  <c:v>2</c:v>
                </c:pt>
                <c:pt idx="15">
                  <c:v>4</c:v>
                </c:pt>
                <c:pt idx="16">
                  <c:v>2</c:v>
                </c:pt>
                <c:pt idx="17">
                  <c:v>4</c:v>
                </c:pt>
                <c:pt idx="18">
                  <c:v>1</c:v>
                </c:pt>
                <c:pt idx="19">
                  <c:v>2</c:v>
                </c:pt>
                <c:pt idx="20">
                  <c:v>3</c:v>
                </c:pt>
                <c:pt idx="21">
                  <c:v>1</c:v>
                </c:pt>
                <c:pt idx="22">
                  <c:v>1</c:v>
                </c:pt>
                <c:pt idx="23">
                  <c:v>1</c:v>
                </c:pt>
                <c:pt idx="24">
                  <c:v>2</c:v>
                </c:pt>
              </c:numCache>
            </c:numRef>
          </c:val>
        </c:ser>
        <c:axId val="116532736"/>
        <c:axId val="116534272"/>
      </c:barChart>
      <c:catAx>
        <c:axId val="116532736"/>
        <c:scaling>
          <c:orientation val="minMax"/>
        </c:scaling>
        <c:axPos val="b"/>
        <c:tickLblPos val="nextTo"/>
        <c:txPr>
          <a:bodyPr/>
          <a:lstStyle/>
          <a:p>
            <a:pPr>
              <a:defRPr sz="800" baseline="0"/>
            </a:pPr>
            <a:endParaRPr lang="zh-CN"/>
          </a:p>
        </c:txPr>
        <c:crossAx val="116534272"/>
        <c:crosses val="autoZero"/>
        <c:auto val="1"/>
        <c:lblAlgn val="ctr"/>
        <c:lblOffset val="100"/>
      </c:catAx>
      <c:valAx>
        <c:axId val="116534272"/>
        <c:scaling>
          <c:orientation val="minMax"/>
        </c:scaling>
        <c:axPos val="l"/>
        <c:majorGridlines/>
        <c:numFmt formatCode="General" sourceLinked="1"/>
        <c:tickLblPos val="nextTo"/>
        <c:crossAx val="116532736"/>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pivotSource>
    <c:name>[春学期合格评价自评成绩.xlsx]Sheet4!数据透视表11</c:name>
    <c:fmtId val="-1"/>
  </c:pivotSource>
  <c:chart>
    <c:title>
      <c:tx>
        <c:rich>
          <a:bodyPr/>
          <a:lstStyle/>
          <a:p>
            <a:pPr>
              <a:defRPr sz="1200"/>
            </a:pPr>
            <a:r>
              <a:rPr lang="zh-CN" altLang="en-US" sz="1200"/>
              <a:t>教师课程教学质量合格评价教师自评成绩分布图</a:t>
            </a:r>
          </a:p>
        </c:rich>
      </c:tx>
    </c:title>
    <c:pivotFmts>
      <c:pivotFmt>
        <c:idx val="0"/>
        <c:marker>
          <c:symbol val="none"/>
        </c:marker>
        <c:dLbl>
          <c:idx val="0"/>
          <c:spPr/>
          <c:txPr>
            <a:bodyPr/>
            <a:lstStyle/>
            <a:p>
              <a:pPr>
                <a:defRPr/>
              </a:pPr>
              <a:endParaRPr lang="zh-CN"/>
            </a:p>
          </c:txPr>
          <c:showVal val="1"/>
        </c:dLbl>
      </c:pivotFmt>
      <c:pivotFmt>
        <c:idx val="1"/>
        <c:marker>
          <c:symbol val="none"/>
        </c:marker>
        <c:dLbl>
          <c:idx val="0"/>
          <c:spPr/>
          <c:txPr>
            <a:bodyPr/>
            <a:lstStyle/>
            <a:p>
              <a:pPr>
                <a:defRPr/>
              </a:pPr>
              <a:endParaRPr lang="zh-CN"/>
            </a:p>
          </c:txPr>
          <c:showVal val="1"/>
        </c:dLbl>
      </c:pivotFmt>
    </c:pivotFmts>
    <c:plotArea>
      <c:layout/>
      <c:barChart>
        <c:barDir val="col"/>
        <c:grouping val="clustered"/>
        <c:ser>
          <c:idx val="0"/>
          <c:order val="0"/>
          <c:tx>
            <c:strRef>
              <c:f>Sheet4!$B$3</c:f>
              <c:strCache>
                <c:ptCount val="1"/>
                <c:pt idx="0">
                  <c:v>汇总</c:v>
                </c:pt>
              </c:strCache>
            </c:strRef>
          </c:tx>
          <c:dLbls>
            <c:txPr>
              <a:bodyPr/>
              <a:lstStyle/>
              <a:p>
                <a:pPr>
                  <a:defRPr/>
                </a:pPr>
                <a:endParaRPr lang="zh-CN"/>
              </a:p>
            </c:txPr>
            <c:showVal val="1"/>
          </c:dLbls>
          <c:cat>
            <c:strRef>
              <c:f>Sheet4!$A$4:$A$17</c:f>
              <c:strCache>
                <c:ptCount val="13"/>
                <c:pt idx="0">
                  <c:v>80</c:v>
                </c:pt>
                <c:pt idx="1">
                  <c:v>85</c:v>
                </c:pt>
                <c:pt idx="2">
                  <c:v>87</c:v>
                </c:pt>
                <c:pt idx="3">
                  <c:v>88</c:v>
                </c:pt>
                <c:pt idx="4">
                  <c:v>90</c:v>
                </c:pt>
                <c:pt idx="5">
                  <c:v>92</c:v>
                </c:pt>
                <c:pt idx="6">
                  <c:v>93</c:v>
                </c:pt>
                <c:pt idx="7">
                  <c:v>94</c:v>
                </c:pt>
                <c:pt idx="8">
                  <c:v>95</c:v>
                </c:pt>
                <c:pt idx="9">
                  <c:v>96</c:v>
                </c:pt>
                <c:pt idx="10">
                  <c:v>97</c:v>
                </c:pt>
                <c:pt idx="11">
                  <c:v>98</c:v>
                </c:pt>
                <c:pt idx="12">
                  <c:v>99</c:v>
                </c:pt>
              </c:strCache>
            </c:strRef>
          </c:cat>
          <c:val>
            <c:numRef>
              <c:f>Sheet4!$B$4:$B$17</c:f>
              <c:numCache>
                <c:formatCode>General</c:formatCode>
                <c:ptCount val="13"/>
                <c:pt idx="0">
                  <c:v>1</c:v>
                </c:pt>
                <c:pt idx="1">
                  <c:v>2</c:v>
                </c:pt>
                <c:pt idx="2">
                  <c:v>2</c:v>
                </c:pt>
                <c:pt idx="3">
                  <c:v>1</c:v>
                </c:pt>
                <c:pt idx="4">
                  <c:v>6</c:v>
                </c:pt>
                <c:pt idx="5">
                  <c:v>5</c:v>
                </c:pt>
                <c:pt idx="6">
                  <c:v>5</c:v>
                </c:pt>
                <c:pt idx="7">
                  <c:v>4</c:v>
                </c:pt>
                <c:pt idx="8">
                  <c:v>5</c:v>
                </c:pt>
                <c:pt idx="9">
                  <c:v>1</c:v>
                </c:pt>
                <c:pt idx="10">
                  <c:v>1</c:v>
                </c:pt>
                <c:pt idx="11">
                  <c:v>2</c:v>
                </c:pt>
                <c:pt idx="12">
                  <c:v>1</c:v>
                </c:pt>
              </c:numCache>
            </c:numRef>
          </c:val>
        </c:ser>
        <c:axId val="116792704"/>
        <c:axId val="116798592"/>
      </c:barChart>
      <c:catAx>
        <c:axId val="116792704"/>
        <c:scaling>
          <c:orientation val="minMax"/>
        </c:scaling>
        <c:axPos val="b"/>
        <c:tickLblPos val="nextTo"/>
        <c:crossAx val="116798592"/>
        <c:crosses val="autoZero"/>
        <c:auto val="1"/>
        <c:lblAlgn val="ctr"/>
        <c:lblOffset val="100"/>
      </c:catAx>
      <c:valAx>
        <c:axId val="116798592"/>
        <c:scaling>
          <c:orientation val="minMax"/>
        </c:scaling>
        <c:axPos val="l"/>
        <c:majorGridlines/>
        <c:numFmt formatCode="General" sourceLinked="1"/>
        <c:tickLblPos val="nextTo"/>
        <c:crossAx val="116792704"/>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sz="1200"/>
              <a:t>教师课程教学质量合格评价学生评教成绩分布图</a:t>
            </a:r>
          </a:p>
        </c:rich>
      </c:tx>
      <c:layout>
        <c:manualLayout>
          <c:xMode val="edge"/>
          <c:yMode val="edge"/>
          <c:x val="0.18179855643044832"/>
          <c:y val="5.5555555555555455E-2"/>
        </c:manualLayout>
      </c:layout>
    </c:title>
    <c:plotArea>
      <c:layout/>
      <c:barChart>
        <c:barDir val="col"/>
        <c:grouping val="clustered"/>
        <c:ser>
          <c:idx val="0"/>
          <c:order val="0"/>
          <c:tx>
            <c:strRef>
              <c:f>Sheet6!$E$2</c:f>
              <c:strCache>
                <c:ptCount val="1"/>
                <c:pt idx="0">
                  <c:v>人数</c:v>
                </c:pt>
              </c:strCache>
            </c:strRef>
          </c:tx>
          <c:dLbls>
            <c:showVal val="1"/>
          </c:dLbls>
          <c:cat>
            <c:strRef>
              <c:f>Sheet6!$D$3:$D$13</c:f>
              <c:strCache>
                <c:ptCount val="11"/>
                <c:pt idx="0">
                  <c:v>90分以下</c:v>
                </c:pt>
                <c:pt idx="1">
                  <c:v>90.1-91.0</c:v>
                </c:pt>
                <c:pt idx="2">
                  <c:v>91.1-92.0</c:v>
                </c:pt>
                <c:pt idx="3">
                  <c:v>92.1-93.0</c:v>
                </c:pt>
                <c:pt idx="4">
                  <c:v>93.1-94.0</c:v>
                </c:pt>
                <c:pt idx="5">
                  <c:v>94.1-95.0</c:v>
                </c:pt>
                <c:pt idx="6">
                  <c:v>95.1-96.0</c:v>
                </c:pt>
                <c:pt idx="7">
                  <c:v>96.1-97.0</c:v>
                </c:pt>
                <c:pt idx="8">
                  <c:v>97.1-98.0</c:v>
                </c:pt>
                <c:pt idx="9">
                  <c:v>98.1-99.0</c:v>
                </c:pt>
                <c:pt idx="10">
                  <c:v>99.1以上</c:v>
                </c:pt>
              </c:strCache>
            </c:strRef>
          </c:cat>
          <c:val>
            <c:numRef>
              <c:f>Sheet6!$E$3:$E$13</c:f>
              <c:numCache>
                <c:formatCode>General</c:formatCode>
                <c:ptCount val="11"/>
                <c:pt idx="0">
                  <c:v>1</c:v>
                </c:pt>
                <c:pt idx="1">
                  <c:v>0</c:v>
                </c:pt>
                <c:pt idx="2">
                  <c:v>0</c:v>
                </c:pt>
                <c:pt idx="3">
                  <c:v>1</c:v>
                </c:pt>
                <c:pt idx="4">
                  <c:v>2</c:v>
                </c:pt>
                <c:pt idx="5">
                  <c:v>1</c:v>
                </c:pt>
                <c:pt idx="6">
                  <c:v>9</c:v>
                </c:pt>
                <c:pt idx="7">
                  <c:v>17</c:v>
                </c:pt>
                <c:pt idx="8">
                  <c:v>18</c:v>
                </c:pt>
                <c:pt idx="9">
                  <c:v>8</c:v>
                </c:pt>
                <c:pt idx="10">
                  <c:v>4</c:v>
                </c:pt>
              </c:numCache>
            </c:numRef>
          </c:val>
        </c:ser>
        <c:axId val="116850048"/>
        <c:axId val="116884608"/>
      </c:barChart>
      <c:catAx>
        <c:axId val="116850048"/>
        <c:scaling>
          <c:orientation val="minMax"/>
        </c:scaling>
        <c:axPos val="b"/>
        <c:tickLblPos val="nextTo"/>
        <c:crossAx val="116884608"/>
        <c:crosses val="autoZero"/>
        <c:auto val="1"/>
        <c:lblAlgn val="ctr"/>
        <c:lblOffset val="100"/>
      </c:catAx>
      <c:valAx>
        <c:axId val="116884608"/>
        <c:scaling>
          <c:orientation val="minMax"/>
        </c:scaling>
        <c:axPos val="l"/>
        <c:majorGridlines/>
        <c:numFmt formatCode="General" sourceLinked="1"/>
        <c:tickLblPos val="nextTo"/>
        <c:crossAx val="116850048"/>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pivotSource>
    <c:name>[Book2]Sheet12!数据透视表10</c:name>
    <c:fmtId val="-1"/>
  </c:pivotSource>
  <c:chart>
    <c:title>
      <c:tx>
        <c:rich>
          <a:bodyPr/>
          <a:lstStyle/>
          <a:p>
            <a:pPr>
              <a:defRPr/>
            </a:pPr>
            <a:r>
              <a:rPr lang="zh-CN" altLang="en-US" sz="1200"/>
              <a:t>教师课程教学质量督学常规评价成绩分布图</a:t>
            </a:r>
          </a:p>
        </c:rich>
      </c:tx>
    </c:title>
    <c:pivotFmts>
      <c:pivotFmt>
        <c:idx val="0"/>
        <c:marker>
          <c:symbol val="none"/>
        </c:marker>
        <c:dLbl>
          <c:idx val="0"/>
          <c:spPr/>
          <c:txPr>
            <a:bodyPr/>
            <a:lstStyle/>
            <a:p>
              <a:pPr>
                <a:defRPr/>
              </a:pPr>
              <a:endParaRPr lang="zh-CN"/>
            </a:p>
          </c:txPr>
          <c:showVal val="1"/>
        </c:dLbl>
      </c:pivotFmt>
      <c:pivotFmt>
        <c:idx val="1"/>
        <c:marker>
          <c:symbol val="none"/>
        </c:marker>
        <c:dLbl>
          <c:idx val="0"/>
          <c:spPr/>
          <c:txPr>
            <a:bodyPr/>
            <a:lstStyle/>
            <a:p>
              <a:pPr>
                <a:defRPr/>
              </a:pPr>
              <a:endParaRPr lang="zh-CN"/>
            </a:p>
          </c:txPr>
          <c:showVal val="1"/>
        </c:dLbl>
      </c:pivotFmt>
    </c:pivotFmts>
    <c:plotArea>
      <c:layout/>
      <c:barChart>
        <c:barDir val="col"/>
        <c:grouping val="clustered"/>
        <c:ser>
          <c:idx val="0"/>
          <c:order val="0"/>
          <c:tx>
            <c:strRef>
              <c:f>Sheet12!$B$3</c:f>
              <c:strCache>
                <c:ptCount val="1"/>
                <c:pt idx="0">
                  <c:v>汇总</c:v>
                </c:pt>
              </c:strCache>
            </c:strRef>
          </c:tx>
          <c:dLbls>
            <c:txPr>
              <a:bodyPr/>
              <a:lstStyle/>
              <a:p>
                <a:pPr>
                  <a:defRPr/>
                </a:pPr>
                <a:endParaRPr lang="zh-CN"/>
              </a:p>
            </c:txPr>
            <c:showVal val="1"/>
          </c:dLbls>
          <c:cat>
            <c:strRef>
              <c:f>Sheet12!$A$4:$A$30</c:f>
              <c:strCache>
                <c:ptCount val="26"/>
                <c:pt idx="0">
                  <c:v>70</c:v>
                </c:pt>
                <c:pt idx="1">
                  <c:v>71</c:v>
                </c:pt>
                <c:pt idx="2">
                  <c:v>72</c:v>
                </c:pt>
                <c:pt idx="3">
                  <c:v>76</c:v>
                </c:pt>
                <c:pt idx="4">
                  <c:v>78</c:v>
                </c:pt>
                <c:pt idx="5">
                  <c:v>79</c:v>
                </c:pt>
                <c:pt idx="6">
                  <c:v>80</c:v>
                </c:pt>
                <c:pt idx="7">
                  <c:v>81</c:v>
                </c:pt>
                <c:pt idx="8">
                  <c:v>82</c:v>
                </c:pt>
                <c:pt idx="9">
                  <c:v>83</c:v>
                </c:pt>
                <c:pt idx="10">
                  <c:v>84</c:v>
                </c:pt>
                <c:pt idx="11">
                  <c:v>85</c:v>
                </c:pt>
                <c:pt idx="12">
                  <c:v>86</c:v>
                </c:pt>
                <c:pt idx="13">
                  <c:v>87</c:v>
                </c:pt>
                <c:pt idx="14">
                  <c:v>88</c:v>
                </c:pt>
                <c:pt idx="15">
                  <c:v>89</c:v>
                </c:pt>
                <c:pt idx="16">
                  <c:v>90</c:v>
                </c:pt>
                <c:pt idx="17">
                  <c:v>91</c:v>
                </c:pt>
                <c:pt idx="18">
                  <c:v>92</c:v>
                </c:pt>
                <c:pt idx="19">
                  <c:v>93</c:v>
                </c:pt>
                <c:pt idx="20">
                  <c:v>94</c:v>
                </c:pt>
                <c:pt idx="21">
                  <c:v>95</c:v>
                </c:pt>
                <c:pt idx="22">
                  <c:v>96</c:v>
                </c:pt>
                <c:pt idx="23">
                  <c:v>97</c:v>
                </c:pt>
                <c:pt idx="24">
                  <c:v>98</c:v>
                </c:pt>
                <c:pt idx="25">
                  <c:v>99</c:v>
                </c:pt>
              </c:strCache>
            </c:strRef>
          </c:cat>
          <c:val>
            <c:numRef>
              <c:f>Sheet12!$B$4:$B$30</c:f>
              <c:numCache>
                <c:formatCode>General</c:formatCode>
                <c:ptCount val="26"/>
                <c:pt idx="0">
                  <c:v>1</c:v>
                </c:pt>
                <c:pt idx="1">
                  <c:v>1</c:v>
                </c:pt>
                <c:pt idx="2">
                  <c:v>2</c:v>
                </c:pt>
                <c:pt idx="3">
                  <c:v>2</c:v>
                </c:pt>
                <c:pt idx="4">
                  <c:v>3</c:v>
                </c:pt>
                <c:pt idx="5">
                  <c:v>1</c:v>
                </c:pt>
                <c:pt idx="6">
                  <c:v>2</c:v>
                </c:pt>
                <c:pt idx="7">
                  <c:v>1</c:v>
                </c:pt>
                <c:pt idx="8">
                  <c:v>1</c:v>
                </c:pt>
                <c:pt idx="9">
                  <c:v>1</c:v>
                </c:pt>
                <c:pt idx="10">
                  <c:v>2</c:v>
                </c:pt>
                <c:pt idx="11">
                  <c:v>11</c:v>
                </c:pt>
                <c:pt idx="12">
                  <c:v>6</c:v>
                </c:pt>
                <c:pt idx="13">
                  <c:v>8</c:v>
                </c:pt>
                <c:pt idx="14">
                  <c:v>13</c:v>
                </c:pt>
                <c:pt idx="15">
                  <c:v>20</c:v>
                </c:pt>
                <c:pt idx="16">
                  <c:v>55</c:v>
                </c:pt>
                <c:pt idx="17">
                  <c:v>53</c:v>
                </c:pt>
                <c:pt idx="18">
                  <c:v>54</c:v>
                </c:pt>
                <c:pt idx="19">
                  <c:v>50</c:v>
                </c:pt>
                <c:pt idx="20">
                  <c:v>54</c:v>
                </c:pt>
                <c:pt idx="21">
                  <c:v>59</c:v>
                </c:pt>
                <c:pt idx="22">
                  <c:v>52</c:v>
                </c:pt>
                <c:pt idx="23">
                  <c:v>32</c:v>
                </c:pt>
                <c:pt idx="24">
                  <c:v>18</c:v>
                </c:pt>
                <c:pt idx="25">
                  <c:v>6</c:v>
                </c:pt>
              </c:numCache>
            </c:numRef>
          </c:val>
        </c:ser>
        <c:axId val="179559040"/>
        <c:axId val="180408704"/>
      </c:barChart>
      <c:catAx>
        <c:axId val="179559040"/>
        <c:scaling>
          <c:orientation val="minMax"/>
        </c:scaling>
        <c:axPos val="b"/>
        <c:tickLblPos val="nextTo"/>
        <c:crossAx val="180408704"/>
        <c:crosses val="autoZero"/>
        <c:auto val="1"/>
        <c:lblAlgn val="ctr"/>
        <c:lblOffset val="100"/>
      </c:catAx>
      <c:valAx>
        <c:axId val="180408704"/>
        <c:scaling>
          <c:orientation val="minMax"/>
        </c:scaling>
        <c:axPos val="l"/>
        <c:majorGridlines/>
        <c:numFmt formatCode="General" sourceLinked="1"/>
        <c:tickLblPos val="nextTo"/>
        <c:crossAx val="179559040"/>
        <c:crosses val="autoZero"/>
        <c:crossBetween val="between"/>
      </c:valAx>
    </c:plotArea>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0.285</cdr:x>
      <cdr:y>0.04444</cdr:y>
    </cdr:from>
    <cdr:to>
      <cdr:x>0.78833</cdr:x>
      <cdr:y>0.125</cdr:y>
    </cdr:to>
    <cdr:sp macro="" textlink="">
      <cdr:nvSpPr>
        <cdr:cNvPr id="2" name="TextBox 1"/>
        <cdr:cNvSpPr txBox="1"/>
      </cdr:nvSpPr>
      <cdr:spPr>
        <a:xfrm xmlns:a="http://schemas.openxmlformats.org/drawingml/2006/main">
          <a:off x="1303020" y="121920"/>
          <a:ext cx="2301240" cy="2209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0.21833</cdr:x>
      <cdr:y>0.04722</cdr:y>
    </cdr:from>
    <cdr:to>
      <cdr:x>0.77833</cdr:x>
      <cdr:y>0.16667</cdr:y>
    </cdr:to>
    <cdr:sp macro="" textlink="">
      <cdr:nvSpPr>
        <cdr:cNvPr id="3" name="TextBox 2"/>
        <cdr:cNvSpPr txBox="1"/>
      </cdr:nvSpPr>
      <cdr:spPr>
        <a:xfrm xmlns:a="http://schemas.openxmlformats.org/drawingml/2006/main">
          <a:off x="998220" y="129540"/>
          <a:ext cx="2560320" cy="3276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0.13417</cdr:x>
      <cdr:y>0.05556</cdr:y>
    </cdr:from>
    <cdr:to>
      <cdr:x>0.8975</cdr:x>
      <cdr:y>0.17778</cdr:y>
    </cdr:to>
    <cdr:sp macro="" textlink="">
      <cdr:nvSpPr>
        <cdr:cNvPr id="4" name="TextBox 3"/>
        <cdr:cNvSpPr txBox="1"/>
      </cdr:nvSpPr>
      <cdr:spPr>
        <a:xfrm xmlns:a="http://schemas.openxmlformats.org/drawingml/2006/main">
          <a:off x="613410" y="152412"/>
          <a:ext cx="3489960" cy="3352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200" b="1"/>
            <a:t>教师课程教学质量优秀评价学生评教成绩分布图</a:t>
          </a:r>
        </a:p>
      </cdr:txBody>
    </cdr:sp>
  </cdr:relSizeAnchor>
</c:userShapes>
</file>

<file path=word/drawings/drawing2.xml><?xml version="1.0" encoding="utf-8"?>
<c:userShapes xmlns:c="http://schemas.openxmlformats.org/drawingml/2006/chart">
  <cdr:relSizeAnchor xmlns:cdr="http://schemas.openxmlformats.org/drawingml/2006/chartDrawing">
    <cdr:from>
      <cdr:x>0.32119</cdr:x>
      <cdr:y>0.00458</cdr:y>
    </cdr:from>
    <cdr:to>
      <cdr:x>0.72351</cdr:x>
      <cdr:y>0.05492</cdr:y>
    </cdr:to>
    <cdr:sp macro="" textlink="">
      <cdr:nvSpPr>
        <cdr:cNvPr id="2" name="TextBox 1"/>
        <cdr:cNvSpPr txBox="1"/>
      </cdr:nvSpPr>
      <cdr:spPr>
        <a:xfrm xmlns:a="http://schemas.openxmlformats.org/drawingml/2006/main">
          <a:off x="1478280" y="15240"/>
          <a:ext cx="1851660" cy="1676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0.15977</cdr:x>
      <cdr:y>0</cdr:y>
    </cdr:from>
    <cdr:to>
      <cdr:x>0.85844</cdr:x>
      <cdr:y>0.11474</cdr:y>
    </cdr:to>
    <cdr:sp macro="" textlink="">
      <cdr:nvSpPr>
        <cdr:cNvPr id="3" name="TextBox 2"/>
        <cdr:cNvSpPr txBox="1"/>
      </cdr:nvSpPr>
      <cdr:spPr>
        <a:xfrm xmlns:a="http://schemas.openxmlformats.org/drawingml/2006/main">
          <a:off x="735329" y="0"/>
          <a:ext cx="3215641" cy="3711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200" b="1">
              <a:solidFill>
                <a:schemeClr val="tx1"/>
              </a:solidFill>
            </a:rPr>
            <a:t>教师课程教学质量优秀评价综合成绩分布图</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822</Words>
  <Characters>4687</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2018-12-04T07:05:00Z</dcterms:created>
  <dcterms:modified xsi:type="dcterms:W3CDTF">2018-12-05T00:34:00Z</dcterms:modified>
</cp:coreProperties>
</file>