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sidR="00B02B71">
        <w:rPr>
          <w:rFonts w:ascii="Arial" w:eastAsia="宋体" w:hAnsi="Arial" w:cs="Arial" w:hint="eastAsia"/>
          <w:b/>
          <w:bCs/>
          <w:color w:val="333333"/>
          <w:kern w:val="0"/>
          <w:sz w:val="32"/>
          <w:szCs w:val="32"/>
        </w:rPr>
        <w:t>20</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sidR="00B02B71">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十期）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26524C">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sidR="00156CCE">
        <w:rPr>
          <w:rFonts w:ascii="宋体" w:eastAsia="宋体" w:hAnsi="宋体" w:cs="宋体" w:hint="eastAsia"/>
          <w:b/>
          <w:bCs/>
          <w:color w:val="555555"/>
          <w:kern w:val="0"/>
          <w:sz w:val="24"/>
          <w:szCs w:val="24"/>
        </w:rPr>
        <w:t>9</w:t>
      </w:r>
      <w:r w:rsidRPr="008E3275">
        <w:rPr>
          <w:rFonts w:ascii="宋体" w:eastAsia="宋体" w:hAnsi="宋体" w:cs="宋体" w:hint="eastAsia"/>
          <w:b/>
          <w:bCs/>
          <w:color w:val="555555"/>
          <w:kern w:val="0"/>
          <w:sz w:val="24"/>
          <w:szCs w:val="24"/>
        </w:rPr>
        <w:t>月</w:t>
      </w:r>
      <w:r w:rsidR="00B02B71">
        <w:rPr>
          <w:rFonts w:ascii="宋体" w:eastAsia="宋体" w:hAnsi="宋体" w:cs="宋体" w:hint="eastAsia"/>
          <w:b/>
          <w:bCs/>
          <w:color w:val="555555"/>
          <w:kern w:val="0"/>
          <w:sz w:val="24"/>
          <w:szCs w:val="24"/>
        </w:rPr>
        <w:t>30</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156CCE">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5C417F" w:rsidRDefault="00047F73" w:rsidP="00047F7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5C417F" w:rsidRPr="005C417F">
        <w:rPr>
          <w:rFonts w:ascii="仿宋" w:eastAsia="仿宋" w:hAnsi="仿宋" w:hint="eastAsia"/>
          <w:b/>
          <w:bCs/>
          <w:color w:val="333333"/>
          <w:sz w:val="24"/>
          <w:szCs w:val="24"/>
        </w:rPr>
        <w:t>河北大学2017-2018学年春学期学生评教分析报告</w:t>
      </w:r>
    </w:p>
    <w:p w:rsidR="00B02B71" w:rsidRDefault="0030734D" w:rsidP="00047F7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B02B71" w:rsidRPr="00B02B71">
        <w:rPr>
          <w:rFonts w:ascii="仿宋" w:eastAsia="仿宋" w:hAnsi="仿宋" w:hint="eastAsia"/>
          <w:b/>
          <w:bCs/>
          <w:color w:val="333333"/>
          <w:sz w:val="24"/>
          <w:szCs w:val="24"/>
        </w:rPr>
        <w:t>我校开展本科专业试点评估工作</w:t>
      </w:r>
    </w:p>
    <w:p w:rsidR="00B02B71" w:rsidRDefault="00B02B71" w:rsidP="00047F73">
      <w:pPr>
        <w:widowControl/>
        <w:spacing w:line="360" w:lineRule="auto"/>
        <w:ind w:firstLine="561"/>
        <w:jc w:val="left"/>
        <w:rPr>
          <w:rFonts w:ascii="仿宋" w:eastAsia="仿宋" w:hAnsi="仿宋"/>
          <w:b/>
          <w:bCs/>
          <w:color w:val="333333"/>
          <w:sz w:val="24"/>
          <w:szCs w:val="24"/>
        </w:rPr>
      </w:pPr>
    </w:p>
    <w:p w:rsidR="005C417F" w:rsidRDefault="005C417F" w:rsidP="005C417F">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5C417F">
        <w:rPr>
          <w:rFonts w:ascii="仿宋" w:eastAsia="仿宋" w:hAnsi="仿宋" w:hint="eastAsia"/>
          <w:b/>
          <w:bCs/>
          <w:color w:val="333333"/>
          <w:sz w:val="24"/>
          <w:szCs w:val="24"/>
        </w:rPr>
        <w:t>河北大学2017-2018学年春学期学生评教分析报告</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2018年5月28日～2018年6月20日，教育教学质量评估中心组织开展了2017-2018学年春学期学生评教工作。为保证评教系统正常运行，本次评教继续采用各年级分段评教方式；为方便学生评教，本次评教仍旧以网络评教（电脑评教和手机评教）为主，针对没有纳入综合教务系统内的课程，相关学院组织学生开展了现场纸质评教。</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2"/>
        <w:jc w:val="left"/>
        <w:rPr>
          <w:rFonts w:ascii="仿宋" w:eastAsia="仿宋" w:hAnsi="仿宋" w:cs="宋体"/>
          <w:bCs/>
          <w:color w:val="333333"/>
          <w:kern w:val="0"/>
          <w:sz w:val="24"/>
          <w:szCs w:val="24"/>
        </w:rPr>
      </w:pPr>
      <w:bookmarkStart w:id="0" w:name="_Toc456083902"/>
      <w:bookmarkEnd w:id="0"/>
      <w:r w:rsidRPr="005C417F">
        <w:rPr>
          <w:rFonts w:ascii="仿宋" w:eastAsia="仿宋" w:hAnsi="仿宋" w:cs="宋体" w:hint="eastAsia"/>
          <w:bCs/>
          <w:color w:val="333333"/>
          <w:kern w:val="0"/>
          <w:sz w:val="24"/>
          <w:szCs w:val="24"/>
        </w:rPr>
        <w:t>一、学生评教实施总体情况</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（一）评教范围</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36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被评教师为该学期为本科生讲授理论课程、实验课程和实践课程的教师，其中实践课程包括毕业论文（设计）、毕业实习、见习和校外实践等课程，集中实践周课程不在评价范围内；参评学生为本学期修读被评课程的全体学生。</w:t>
      </w:r>
      <w:bookmarkStart w:id="1" w:name="_Toc456083903"/>
      <w:bookmarkEnd w:id="1"/>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36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（二）评教标准</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遵循教学过程和教学效果并重的原则，评价课程类型分为人文课程、理工课程、外语课程、艺术课程、艺术课程（实践）、体育课程、实验课程和实践课程等八类，评价指标包含教学内容、教学态度、教学水平和教学效果四个方面，共10项内容，满分100分。</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bookmarkStart w:id="2" w:name="_Toc456083904"/>
      <w:bookmarkEnd w:id="2"/>
      <w:r w:rsidRPr="005C417F">
        <w:rPr>
          <w:rFonts w:ascii="仿宋" w:eastAsia="仿宋" w:hAnsi="仿宋" w:cs="宋体" w:hint="eastAsia"/>
          <w:bCs/>
          <w:color w:val="333333"/>
          <w:kern w:val="0"/>
          <w:sz w:val="24"/>
          <w:szCs w:val="24"/>
        </w:rPr>
        <w:t>（三）成绩统计方法</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lastRenderedPageBreak/>
        <w:t>学生评教率达到80%以上（含80%）的评教数据为有效数据。为保证评教信度和效度，评教结果统计时，将学生评教有效数据排序，去除前后各5%数据后，再取其平均数，形成了每位任课教师的评教成绩。</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bookmarkStart w:id="3" w:name="_Toc456083905"/>
      <w:bookmarkEnd w:id="3"/>
      <w:r w:rsidRPr="005C417F">
        <w:rPr>
          <w:rFonts w:ascii="仿宋" w:eastAsia="仿宋" w:hAnsi="仿宋" w:cs="宋体" w:hint="eastAsia"/>
          <w:bCs/>
          <w:color w:val="333333"/>
          <w:kern w:val="0"/>
          <w:sz w:val="24"/>
          <w:szCs w:val="24"/>
        </w:rPr>
        <w:t>（四）成绩查询</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评教结束后，评估中心及时向各教学单位反馈任课教师评教成绩，各单位将评教总体情况通报给全体教师，任课教师也可通过教务系统入口查询评教结果。</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 具体查询方式为：河北大学主页——左下“教育教学”——“教务系统”——右侧“教学评估”——“评估结果查询”。</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2"/>
        <w:jc w:val="left"/>
        <w:rPr>
          <w:rFonts w:ascii="仿宋" w:eastAsia="仿宋" w:hAnsi="仿宋" w:cs="宋体"/>
          <w:bCs/>
          <w:color w:val="333333"/>
          <w:kern w:val="0"/>
          <w:sz w:val="24"/>
          <w:szCs w:val="24"/>
        </w:rPr>
      </w:pPr>
      <w:bookmarkStart w:id="4" w:name="_Toc456083907"/>
      <w:bookmarkEnd w:id="4"/>
      <w:r w:rsidRPr="005C417F">
        <w:rPr>
          <w:rFonts w:ascii="仿宋" w:eastAsia="仿宋" w:hAnsi="仿宋" w:cs="宋体" w:hint="eastAsia"/>
          <w:bCs/>
          <w:color w:val="333333"/>
          <w:kern w:val="0"/>
          <w:sz w:val="24"/>
          <w:szCs w:val="24"/>
        </w:rPr>
        <w:t>二、学生评教整体情况</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此次学生评教有效记录为377932条，学生（不含工商学院）应参评人次266617，实际参评人次239219，答题率为89.72%。应评教师1557人，实评教师1557人；应评教师5815人次，实评教师5805人次；应评课程2191门，实评课程2190门；应评课程4923门次，实评课程4913门次。评教率排名前五名的学院为：公共卫生学院、教育学院、外语学院、管理学院、中医学院；评教率较低，不足85%的学院有：艺术学院、建工学院和中央兰开夏传媒与创意学院。（各教学单位学生评教率见表1）</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表1  各教学单位学生评教率</w:t>
      </w:r>
      <w:r w:rsidRPr="005C417F">
        <w:rPr>
          <w:rFonts w:ascii="仿宋" w:eastAsia="仿宋" w:hAnsi="仿宋" w:cs="宋体"/>
          <w:bCs/>
          <w:color w:val="333333"/>
          <w:kern w:val="0"/>
          <w:sz w:val="24"/>
          <w:szCs w:val="24"/>
        </w:rPr>
        <w:t xml:space="preserve"> </w:t>
      </w:r>
    </w:p>
    <w:tbl>
      <w:tblPr>
        <w:tblW w:w="7400" w:type="dxa"/>
        <w:jc w:val="center"/>
        <w:tblCellMar>
          <w:left w:w="0" w:type="dxa"/>
          <w:right w:w="0" w:type="dxa"/>
        </w:tblCellMar>
        <w:tblLook w:val="04A0"/>
      </w:tblPr>
      <w:tblGrid>
        <w:gridCol w:w="1857"/>
        <w:gridCol w:w="1798"/>
        <w:gridCol w:w="1663"/>
        <w:gridCol w:w="2082"/>
      </w:tblGrid>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院系</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实际参评人次</w:t>
            </w:r>
            <w:r w:rsidRPr="005C417F">
              <w:rPr>
                <w:rFonts w:ascii="仿宋" w:eastAsia="仿宋" w:hAnsi="仿宋" w:cs="宋体"/>
                <w:bCs/>
                <w:color w:val="333333"/>
                <w:kern w:val="0"/>
                <w:sz w:val="24"/>
                <w:szCs w:val="24"/>
              </w:rPr>
              <w:t xml:space="preserve">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应参评人次</w:t>
            </w:r>
            <w:r w:rsidRPr="005C417F">
              <w:rPr>
                <w:rFonts w:ascii="仿宋" w:eastAsia="仿宋" w:hAnsi="仿宋" w:cs="宋体"/>
                <w:bCs/>
                <w:color w:val="333333"/>
                <w:kern w:val="0"/>
                <w:sz w:val="24"/>
                <w:szCs w:val="24"/>
              </w:rPr>
              <w:t xml:space="preserve">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学生评教率</w:t>
            </w:r>
            <w:r w:rsidRPr="005C417F">
              <w:rPr>
                <w:rFonts w:ascii="仿宋" w:eastAsia="仿宋" w:hAnsi="仿宋" w:cs="宋体"/>
                <w:bCs/>
                <w:color w:val="333333"/>
                <w:kern w:val="0"/>
                <w:sz w:val="24"/>
                <w:szCs w:val="24"/>
              </w:rPr>
              <w:t xml:space="preserve">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公共卫生学院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16081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16298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98.67%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教育学院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4959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5119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96.87%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外语学院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7835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8158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96.04%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管理学院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21836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23109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94.49%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中医学院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6855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7281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94.15%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物理学院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11492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12227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93.99%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文学院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5815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6202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93.76%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质监学院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14008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15074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92.93%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电信学院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17028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18617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91.46%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政法学院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8807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9784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90.01%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医学院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10817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12040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89.84%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lastRenderedPageBreak/>
              <w:t>经济学院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14483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16155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89.65%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网计学院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9006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10046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89.65%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药学院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9609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10735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89.51%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数信学院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8090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9276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87.21%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历史学院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2237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2577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86.81%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护理学院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12754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14803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86.16%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化学学院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14991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17400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86.16%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生命学院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9786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11365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86.11%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新闻学院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10707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12561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85.24%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艺术学院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9699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11917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81.39%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建工学院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11662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15002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77.74%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中央兰开夏传媒与创意学院</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662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871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76.00% </w:t>
            </w:r>
          </w:p>
        </w:tc>
      </w:tr>
      <w:tr w:rsidR="005C417F" w:rsidRPr="005C417F">
        <w:trPr>
          <w:jc w:val="center"/>
        </w:trPr>
        <w:tc>
          <w:tcPr>
            <w:tcW w:w="148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总计</w:t>
            </w:r>
            <w:r w:rsidRPr="005C417F">
              <w:rPr>
                <w:rFonts w:ascii="仿宋" w:eastAsia="仿宋" w:hAnsi="仿宋" w:cs="宋体"/>
                <w:bCs/>
                <w:color w:val="333333"/>
                <w:kern w:val="0"/>
                <w:sz w:val="24"/>
                <w:szCs w:val="24"/>
              </w:rPr>
              <w:t xml:space="preserve"> </w:t>
            </w:r>
          </w:p>
        </w:tc>
        <w:tc>
          <w:tcPr>
            <w:tcW w:w="1440"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239219 </w:t>
            </w:r>
          </w:p>
        </w:tc>
        <w:tc>
          <w:tcPr>
            <w:tcW w:w="133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266617 </w:t>
            </w:r>
          </w:p>
        </w:tc>
        <w:tc>
          <w:tcPr>
            <w:tcW w:w="166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bCs/>
                <w:color w:val="333333"/>
                <w:kern w:val="0"/>
                <w:sz w:val="24"/>
                <w:szCs w:val="24"/>
              </w:rPr>
              <w:t xml:space="preserve">89.72% </w:t>
            </w:r>
          </w:p>
        </w:tc>
      </w:tr>
    </w:tbl>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从评教结果看，学生对教师的授课质量普遍满意。本学期参评教师成绩最高分为100分，最低分为71.7分，全校平均分为96.53分。教师排名前10%的教师人数267人，评教成绩大于等于99.26；教师排名后10%教师人数257人，评教成绩小于等于93.56；评教成绩低于90分课程门数为93门，占比为2.71%；低于85分课程门数为23门，占比为0.67%。评教平均成绩排名前五名的教学单位分别为：中医学院、生命学院、建工学院、、质监学院和化学学院。（各教学单位教师评教平均成绩见表2，各教学单位参评门次排名前10%和后10%具体情况见表3）</w:t>
      </w:r>
      <w:r w:rsidRPr="005C417F">
        <w:rPr>
          <w:rFonts w:ascii="仿宋" w:eastAsia="仿宋" w:hAnsi="仿宋" w:cs="宋体"/>
          <w:bCs/>
          <w:color w:val="333333"/>
          <w:kern w:val="0"/>
          <w:sz w:val="24"/>
          <w:szCs w:val="24"/>
        </w:rPr>
        <w:t xml:space="preserve"> </w:t>
      </w:r>
    </w:p>
    <w:p w:rsidR="005C417F" w:rsidRDefault="005C417F" w:rsidP="005C417F">
      <w:pPr>
        <w:widowControl/>
        <w:spacing w:line="360" w:lineRule="auto"/>
        <w:ind w:firstLine="480"/>
        <w:jc w:val="center"/>
        <w:rPr>
          <w:rFonts w:ascii="仿宋" w:eastAsia="仿宋" w:hAnsi="仿宋" w:cs="宋体"/>
          <w:bCs/>
          <w:color w:val="333333"/>
          <w:kern w:val="0"/>
          <w:sz w:val="24"/>
          <w:szCs w:val="24"/>
        </w:rPr>
      </w:pPr>
    </w:p>
    <w:p w:rsidR="005C417F" w:rsidRDefault="005C417F" w:rsidP="005C417F">
      <w:pPr>
        <w:widowControl/>
        <w:spacing w:line="360" w:lineRule="auto"/>
        <w:ind w:firstLine="480"/>
        <w:jc w:val="center"/>
        <w:rPr>
          <w:rFonts w:ascii="仿宋" w:eastAsia="仿宋" w:hAnsi="仿宋" w:cs="宋体"/>
          <w:bCs/>
          <w:color w:val="333333"/>
          <w:kern w:val="0"/>
          <w:sz w:val="24"/>
          <w:szCs w:val="24"/>
        </w:rPr>
      </w:pPr>
    </w:p>
    <w:p w:rsidR="005C417F" w:rsidRPr="005C417F" w:rsidRDefault="005C417F" w:rsidP="005C417F">
      <w:pPr>
        <w:widowControl/>
        <w:spacing w:line="360" w:lineRule="auto"/>
        <w:ind w:firstLine="480"/>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表2   各教学单位教师平均评教成绩</w:t>
      </w:r>
      <w:r w:rsidRPr="005C417F">
        <w:rPr>
          <w:rFonts w:ascii="仿宋" w:eastAsia="仿宋" w:hAnsi="仿宋" w:cs="宋体"/>
          <w:bCs/>
          <w:color w:val="333333"/>
          <w:kern w:val="0"/>
          <w:sz w:val="24"/>
          <w:szCs w:val="24"/>
        </w:rPr>
        <w:t xml:space="preserve"> </w:t>
      </w:r>
    </w:p>
    <w:tbl>
      <w:tblPr>
        <w:tblW w:w="6599" w:type="dxa"/>
        <w:jc w:val="center"/>
        <w:tblCellMar>
          <w:left w:w="0" w:type="dxa"/>
          <w:right w:w="0" w:type="dxa"/>
        </w:tblCellMar>
        <w:tblLook w:val="04A0"/>
      </w:tblPr>
      <w:tblGrid>
        <w:gridCol w:w="1661"/>
        <w:gridCol w:w="2731"/>
        <w:gridCol w:w="2207"/>
      </w:tblGrid>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序号</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 xml:space="preserve">院系  </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 xml:space="preserve">评教平均成绩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中医学院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97.94</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生命学院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97.84</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lastRenderedPageBreak/>
              <w:t>3</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建工学院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97.68</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质监学院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97.66</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化学学院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97.2</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数信学院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97.12</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7</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公共外语教学部</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97.1</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教育学院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97.07</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ind w:firstLineChars="100" w:firstLine="240"/>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公共卫生学院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96.91</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政法学院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96.85</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ind w:firstLineChars="400" w:firstLine="960"/>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文学院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96.79</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12</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网计学院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96.71</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13</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体育教学部</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96.66</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14</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ind w:firstLineChars="400" w:firstLine="960"/>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医学院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96.55</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15</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经济学院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96.48</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16</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外语学院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96.47</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17</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护理学院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96.39</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18</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电信学院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96.29</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19</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物理学院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96.2</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20</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历史学院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96.1</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21</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艺术学院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96.09</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22</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新闻学院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95.79</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23</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ind w:firstLineChars="400" w:firstLine="960"/>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药学院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95.78</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24</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ind w:firstLineChars="200" w:firstLine="480"/>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马克思主义学院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95.6</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25</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管理学院</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95.51</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6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26</w:t>
            </w:r>
            <w:r w:rsidRPr="005C417F">
              <w:rPr>
                <w:rFonts w:ascii="仿宋" w:eastAsia="仿宋" w:hAnsi="仿宋" w:cs="宋体"/>
                <w:bCs/>
                <w:color w:val="333333"/>
                <w:kern w:val="0"/>
                <w:sz w:val="24"/>
                <w:szCs w:val="24"/>
              </w:rPr>
              <w:t xml:space="preserve"> </w:t>
            </w:r>
          </w:p>
        </w:tc>
        <w:tc>
          <w:tcPr>
            <w:tcW w:w="273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ind w:firstLineChars="200" w:firstLine="480"/>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计算机教学</w:t>
            </w:r>
            <w:r>
              <w:rPr>
                <w:rFonts w:ascii="仿宋" w:eastAsia="仿宋" w:hAnsi="仿宋" w:cs="宋体" w:hint="eastAsia"/>
                <w:bCs/>
                <w:color w:val="333333"/>
                <w:kern w:val="0"/>
                <w:sz w:val="24"/>
                <w:szCs w:val="24"/>
              </w:rPr>
              <w:t>部</w:t>
            </w:r>
          </w:p>
        </w:tc>
        <w:tc>
          <w:tcPr>
            <w:tcW w:w="220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95.17</w:t>
            </w:r>
            <w:r w:rsidRPr="005C417F">
              <w:rPr>
                <w:rFonts w:ascii="仿宋" w:eastAsia="仿宋" w:hAnsi="仿宋" w:cs="宋体"/>
                <w:bCs/>
                <w:color w:val="333333"/>
                <w:kern w:val="0"/>
                <w:sz w:val="24"/>
                <w:szCs w:val="24"/>
              </w:rPr>
              <w:t xml:space="preserve"> </w:t>
            </w:r>
          </w:p>
        </w:tc>
      </w:tr>
    </w:tbl>
    <w:p w:rsidR="005C417F" w:rsidRPr="005C417F" w:rsidRDefault="005C417F" w:rsidP="005C417F">
      <w:pPr>
        <w:widowControl/>
        <w:spacing w:line="360" w:lineRule="auto"/>
        <w:ind w:firstLine="480"/>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表3 各教学单位参评门次排名前10%和后10%具体情况</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20"/>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（参评门次按照课程所在院系统计）</w:t>
      </w:r>
      <w:r w:rsidRPr="005C417F">
        <w:rPr>
          <w:rFonts w:ascii="仿宋" w:eastAsia="仿宋" w:hAnsi="仿宋" w:cs="宋体"/>
          <w:bCs/>
          <w:color w:val="333333"/>
          <w:kern w:val="0"/>
          <w:sz w:val="24"/>
          <w:szCs w:val="24"/>
        </w:rPr>
        <w:t xml:space="preserve"> </w:t>
      </w:r>
    </w:p>
    <w:tbl>
      <w:tblPr>
        <w:tblW w:w="781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5"/>
        <w:gridCol w:w="737"/>
        <w:gridCol w:w="978"/>
        <w:gridCol w:w="1561"/>
        <w:gridCol w:w="992"/>
        <w:gridCol w:w="1681"/>
      </w:tblGrid>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教学单位</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参评门次</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前10.0%门次数</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Cs w:val="21"/>
              </w:rPr>
            </w:pPr>
            <w:r w:rsidRPr="005C417F">
              <w:rPr>
                <w:rFonts w:ascii="仿宋" w:eastAsia="仿宋" w:hAnsi="仿宋" w:cs="宋体" w:hint="eastAsia"/>
                <w:bCs/>
                <w:color w:val="333333"/>
                <w:kern w:val="0"/>
                <w:szCs w:val="21"/>
              </w:rPr>
              <w:t xml:space="preserve">前10.0%门次占院系总门次比例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后10.0%门次数</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Cs w:val="21"/>
              </w:rPr>
            </w:pPr>
            <w:r w:rsidRPr="005C417F">
              <w:rPr>
                <w:rFonts w:ascii="仿宋" w:eastAsia="仿宋" w:hAnsi="仿宋" w:cs="宋体" w:hint="eastAsia"/>
                <w:bCs/>
                <w:color w:val="333333"/>
                <w:kern w:val="0"/>
                <w:szCs w:val="21"/>
              </w:rPr>
              <w:t xml:space="preserve">后10.0%门次占院系总门次比例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lastRenderedPageBreak/>
              <w:t>文学院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61</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6.60%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6.60%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历史学院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68</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2.90%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11.80%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新闻学院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89</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15</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16.90%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10.10%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经济学院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88</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5.70%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5.70%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管理学院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198</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23</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11.60%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40</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20.20%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外国语学院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136</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33</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24.30%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19</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14.00%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教育学院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78</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13</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16.70%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6.40%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政法学院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91</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14</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15.40%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12</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13.20%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艺术学院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202</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47</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23.30%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35</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17.30%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数信学院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111</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17</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15.30%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9.00%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网计学院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56</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7.10%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8.90%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物理学院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69</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1.40%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2.90%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化学学院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158</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24</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15.20%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5.10%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生命学院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100</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27</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27.00%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8.00%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电信学院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116</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5.20%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9.50%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建工学院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61</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18</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29.50%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1.60%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质监学院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106</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9.40%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3</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2.80%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药学院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69</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1.40%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11.60%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公共卫生学院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66</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5</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7.60%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3.00%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护理学院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42</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0.00%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4.80%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医学院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83</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4.80%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0.00%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中医学院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44</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9.10%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0.00%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马克思主义学院</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49</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4.10%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20.40%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公共外语教学部</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97</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4.10%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2.10%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体育教学部</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133</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10</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7.50%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15</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11.30%</w:t>
            </w:r>
            <w:r w:rsidRPr="005C417F">
              <w:rPr>
                <w:rFonts w:ascii="仿宋" w:eastAsia="仿宋" w:hAnsi="仿宋" w:cs="宋体"/>
                <w:bCs/>
                <w:color w:val="333333"/>
                <w:kern w:val="0"/>
                <w:sz w:val="24"/>
                <w:szCs w:val="24"/>
              </w:rPr>
              <w:t xml:space="preserve"> </w:t>
            </w:r>
          </w:p>
        </w:tc>
      </w:tr>
      <w:tr w:rsidR="005C417F" w:rsidRPr="005C417F" w:rsidTr="005C417F">
        <w:trPr>
          <w:jc w:val="center"/>
        </w:trPr>
        <w:tc>
          <w:tcPr>
            <w:tcW w:w="1865"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计算机教学部</w:t>
            </w:r>
            <w:r w:rsidRPr="005C417F">
              <w:rPr>
                <w:rFonts w:ascii="仿宋" w:eastAsia="仿宋" w:hAnsi="仿宋" w:cs="宋体"/>
                <w:bCs/>
                <w:color w:val="333333"/>
                <w:kern w:val="0"/>
                <w:sz w:val="24"/>
                <w:szCs w:val="24"/>
              </w:rPr>
              <w:t xml:space="preserve"> </w:t>
            </w:r>
          </w:p>
        </w:tc>
        <w:tc>
          <w:tcPr>
            <w:tcW w:w="737"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30</w:t>
            </w:r>
            <w:r w:rsidRPr="005C417F">
              <w:rPr>
                <w:rFonts w:ascii="仿宋" w:eastAsia="仿宋" w:hAnsi="仿宋" w:cs="宋体"/>
                <w:bCs/>
                <w:color w:val="333333"/>
                <w:kern w:val="0"/>
                <w:sz w:val="24"/>
                <w:szCs w:val="24"/>
              </w:rPr>
              <w:t xml:space="preserve"> </w:t>
            </w:r>
          </w:p>
        </w:tc>
        <w:tc>
          <w:tcPr>
            <w:tcW w:w="978"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w:t>
            </w:r>
            <w:r w:rsidRPr="005C417F">
              <w:rPr>
                <w:rFonts w:ascii="仿宋" w:eastAsia="仿宋" w:hAnsi="仿宋" w:cs="宋体"/>
                <w:bCs/>
                <w:color w:val="333333"/>
                <w:kern w:val="0"/>
                <w:sz w:val="24"/>
                <w:szCs w:val="24"/>
              </w:rPr>
              <w:t xml:space="preserve"> </w:t>
            </w:r>
          </w:p>
        </w:tc>
        <w:tc>
          <w:tcPr>
            <w:tcW w:w="156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0.00%</w:t>
            </w:r>
            <w:r w:rsidRPr="005C417F">
              <w:rPr>
                <w:rFonts w:ascii="仿宋" w:eastAsia="仿宋" w:hAnsi="仿宋" w:cs="宋体"/>
                <w:bCs/>
                <w:color w:val="333333"/>
                <w:kern w:val="0"/>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6</w:t>
            </w:r>
            <w:r w:rsidRPr="005C417F">
              <w:rPr>
                <w:rFonts w:ascii="仿宋" w:eastAsia="仿宋" w:hAnsi="仿宋" w:cs="宋体"/>
                <w:bCs/>
                <w:color w:val="333333"/>
                <w:kern w:val="0"/>
                <w:sz w:val="24"/>
                <w:szCs w:val="24"/>
              </w:rPr>
              <w:t xml:space="preserve"> </w:t>
            </w:r>
          </w:p>
        </w:tc>
        <w:tc>
          <w:tcPr>
            <w:tcW w:w="1681" w:type="dxa"/>
            <w:tcBorders>
              <w:top w:val="single" w:sz="8" w:space="0" w:color="auto"/>
              <w:left w:val="single" w:sz="8" w:space="0" w:color="auto"/>
              <w:bottom w:val="single" w:sz="8" w:space="0" w:color="auto"/>
              <w:right w:val="single" w:sz="8" w:space="0" w:color="auto"/>
            </w:tcBorders>
            <w:vAlign w:val="center"/>
            <w:hideMark/>
          </w:tcPr>
          <w:p w:rsidR="005C417F" w:rsidRPr="005C417F" w:rsidRDefault="005C417F" w:rsidP="005C417F">
            <w:pPr>
              <w:widowControl/>
              <w:spacing w:line="360" w:lineRule="auto"/>
              <w:jc w:val="center"/>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20.00%</w:t>
            </w:r>
            <w:r w:rsidRPr="005C417F">
              <w:rPr>
                <w:rFonts w:ascii="仿宋" w:eastAsia="仿宋" w:hAnsi="仿宋" w:cs="宋体"/>
                <w:bCs/>
                <w:color w:val="333333"/>
                <w:kern w:val="0"/>
                <w:sz w:val="24"/>
                <w:szCs w:val="24"/>
              </w:rPr>
              <w:t xml:space="preserve"> </w:t>
            </w:r>
          </w:p>
        </w:tc>
      </w:tr>
    </w:tbl>
    <w:p w:rsidR="005C417F" w:rsidRPr="005C417F" w:rsidRDefault="005C417F" w:rsidP="005C417F">
      <w:pPr>
        <w:widowControl/>
        <w:spacing w:line="360" w:lineRule="auto"/>
        <w:ind w:firstLine="482"/>
        <w:jc w:val="left"/>
        <w:rPr>
          <w:rFonts w:ascii="仿宋" w:eastAsia="仿宋" w:hAnsi="仿宋" w:cs="宋体"/>
          <w:bCs/>
          <w:color w:val="333333"/>
          <w:kern w:val="0"/>
          <w:sz w:val="24"/>
          <w:szCs w:val="24"/>
        </w:rPr>
      </w:pPr>
      <w:bookmarkStart w:id="5" w:name="_Toc456083912"/>
      <w:bookmarkEnd w:id="5"/>
      <w:r w:rsidRPr="005C417F">
        <w:rPr>
          <w:rFonts w:ascii="仿宋" w:eastAsia="仿宋" w:hAnsi="仿宋" w:cs="宋体" w:hint="eastAsia"/>
          <w:bCs/>
          <w:color w:val="333333"/>
          <w:kern w:val="0"/>
          <w:sz w:val="24"/>
          <w:szCs w:val="24"/>
        </w:rPr>
        <w:t>三、2017-2018学年春学期学生评教反馈与持续改进</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lastRenderedPageBreak/>
        <w:t>评教结束后，评估中心将教师评教成绩及时反馈到了各教学单位。在全面反馈基础上，评估中心将评教成绩低于85分的教师具体情况反馈给了所在单位，本学期共涉及电信学院、管理学院、化学学院、经济学院、历史学院、外语学院、物理学院、新闻学院、艺术学院、政法学院、马克思主义学院和体育教学部共12个教学单位的20名教师，涉及课程23门，其中个别教师多门课程评教成绩偏低，极个别教师评教成绩较低现象多学期出现。</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 xml:space="preserve">通过汇总成绩较低教师的评教成绩和主观评价内容，发现学生对这些教师在教学内容和教学态度等方面主要提出了以下意见和建议：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1.教学内容方面：备课不充分；授课内容不充实、不丰富，逻辑性差，上课枯燥；个别教师上课讲授专业知识过少；个别教师上课一直念PPT和课本,课堂无趣；个别教师因教学经验缺乏，缺乏自信，讲解问题不清楚。</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 xml:space="preserve">2.教学水平方面：不能自如运用各种教学方法及手段，教法僵硬，教学过程缺乏互动，课堂气氛沉闷，学生学习兴趣不高；个别教师上课声音过小，影响学生学习效果。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3.教学态度方面：个别教师缺乏耐心、多次在上课接打电话；个别教师上课积极性差，很少与学生互动。</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4.教学效果方面：个别教师因普通话不标准，影响学生听课效果。</w:t>
      </w:r>
      <w:r w:rsidRPr="005C417F">
        <w:rPr>
          <w:rFonts w:ascii="仿宋" w:eastAsia="仿宋" w:hAnsi="仿宋" w:cs="宋体"/>
          <w:bCs/>
          <w:color w:val="333333"/>
          <w:kern w:val="0"/>
          <w:sz w:val="24"/>
          <w:szCs w:val="24"/>
        </w:rPr>
        <w:t xml:space="preserve"> </w:t>
      </w:r>
    </w:p>
    <w:p w:rsidR="005C417F" w:rsidRPr="005C417F" w:rsidRDefault="005C417F" w:rsidP="005C417F">
      <w:pPr>
        <w:widowControl/>
        <w:spacing w:line="360" w:lineRule="auto"/>
        <w:ind w:firstLine="480"/>
        <w:jc w:val="left"/>
        <w:rPr>
          <w:rFonts w:ascii="仿宋" w:eastAsia="仿宋" w:hAnsi="仿宋" w:cs="宋体"/>
          <w:bCs/>
          <w:color w:val="333333"/>
          <w:kern w:val="0"/>
          <w:sz w:val="24"/>
          <w:szCs w:val="24"/>
        </w:rPr>
      </w:pPr>
      <w:r w:rsidRPr="005C417F">
        <w:rPr>
          <w:rFonts w:ascii="仿宋" w:eastAsia="仿宋" w:hAnsi="仿宋" w:cs="宋体" w:hint="eastAsia"/>
          <w:bCs/>
          <w:color w:val="333333"/>
          <w:kern w:val="0"/>
          <w:sz w:val="24"/>
          <w:szCs w:val="24"/>
        </w:rPr>
        <w:t>下学期，学校会组织督学对评教成绩较低教师和学生反映问题突出的重点教师进行持续跟踪听课。同时，各相关教学单位要将学生意见建议及时反馈给任课教师，尤其针对问题比较突出的教师，要对其存在的问题进行调查落实和帮扶整改，制定改进对策，加大对这部分教师的听课力度，督促教师端正教学态度，提升教学水平。</w:t>
      </w:r>
      <w:r w:rsidRPr="005C417F">
        <w:rPr>
          <w:rFonts w:ascii="仿宋" w:eastAsia="仿宋" w:hAnsi="仿宋" w:cs="宋体"/>
          <w:bCs/>
          <w:color w:val="333333"/>
          <w:kern w:val="0"/>
          <w:sz w:val="24"/>
          <w:szCs w:val="24"/>
        </w:rPr>
        <w:t xml:space="preserve"> </w:t>
      </w:r>
    </w:p>
    <w:p w:rsidR="005C417F" w:rsidRDefault="005C417F" w:rsidP="005C417F">
      <w:pPr>
        <w:widowControl/>
        <w:spacing w:line="360" w:lineRule="auto"/>
        <w:ind w:firstLine="561"/>
        <w:jc w:val="left"/>
        <w:rPr>
          <w:rFonts w:ascii="仿宋" w:eastAsia="仿宋" w:hAnsi="仿宋"/>
          <w:b/>
          <w:bCs/>
          <w:color w:val="333333"/>
          <w:sz w:val="24"/>
          <w:szCs w:val="24"/>
        </w:rPr>
      </w:pPr>
    </w:p>
    <w:p w:rsidR="00B02B71" w:rsidRDefault="00B02B71" w:rsidP="00B02B71">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B02B71">
        <w:rPr>
          <w:rFonts w:ascii="仿宋" w:eastAsia="仿宋" w:hAnsi="仿宋" w:hint="eastAsia"/>
          <w:b/>
          <w:bCs/>
          <w:color w:val="333333"/>
          <w:sz w:val="24"/>
          <w:szCs w:val="24"/>
        </w:rPr>
        <w:t>我校开展本科专业试点评估工作</w:t>
      </w:r>
    </w:p>
    <w:p w:rsidR="00B02B71" w:rsidRPr="00B02B71" w:rsidRDefault="00B02B71" w:rsidP="00B02B71">
      <w:pPr>
        <w:widowControl/>
        <w:spacing w:line="360" w:lineRule="auto"/>
        <w:ind w:firstLine="60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为进一步加强本科专业建设与管理，突出专业内涵建设和特色发展，全面提高人才培养质量，2018年6月19日至7月6日，由校级督学组成的专家组，对22个教学单位的29个本科专业进行了试点评估。本次评估分为6个专家组，包括3个文科组、1个理科组、1个工科组和1个医科组。 </w:t>
      </w:r>
    </w:p>
    <w:p w:rsidR="00B02B71" w:rsidRPr="00B02B71" w:rsidRDefault="00B02B71" w:rsidP="00B02B71">
      <w:pPr>
        <w:widowControl/>
        <w:spacing w:line="360" w:lineRule="auto"/>
        <w:ind w:firstLine="60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lastRenderedPageBreak/>
        <w:t xml:space="preserve">为保证专业评估工作顺利进行，学校先后召开全体督学工作会议、副总督学会议、评估专家组组长会议，下发《评估专家工作指南》《本科专业评估考察要点》等材料，对专业评估工作进行部署安排，就相关事宜进行研讨。评估过程中，专家组以“五个度”为主线，围绕“培养目标与毕业要求”、“教师队伍”、“教学建设”、“支持条件”、“质量保障”、“培养质量”、“专业特色”等7个一级评估指标，在认真审阅专业自评报告和数据分析报告基础上，通过听取专业负责人汇报、查阅支撑材料，召开座谈（访谈会）、抽查试卷和毕业论文（设计）等方式，对各专业本科教学工作进行了实地考察。 </w:t>
      </w:r>
    </w:p>
    <w:p w:rsidR="00B02B71" w:rsidRPr="00B02B71" w:rsidRDefault="00B02B71" w:rsidP="00B02B71">
      <w:pPr>
        <w:widowControl/>
        <w:shd w:val="clear" w:color="auto" w:fill="FFFFFF"/>
        <w:spacing w:line="360" w:lineRule="auto"/>
        <w:ind w:firstLine="60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考察期间，专家组共召开座谈会60余次，访谈师生300余人，抽查试卷200余份和毕业论文（设计）700余份，详细审阅了各专业的人才培养方案，查阅了专业建设、教学改革、质量监控和实习实训等方面的支撑材料。根据所评专业现状，专家组成员填写了《本科专业评估专家工作记录表》、《本科课程考核试卷质量与管理评价表》和《本科毕业论文（设计）质量评价表》等过程材料；各专家组多次召开内部会议，交流考察感受，通报考察情况，在充分研讨基础上形成评估意见，分专业撰写完成《专业评估报告》。 </w:t>
      </w:r>
    </w:p>
    <w:p w:rsidR="00B02B71" w:rsidRDefault="00B02B71" w:rsidP="00B02B71">
      <w:pPr>
        <w:widowControl/>
        <w:spacing w:line="360" w:lineRule="auto"/>
        <w:ind w:firstLine="60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考察结束后，各专家组与参评专业进行了深入交流，肯定了各专业取得的成绩，指出了各专业在专业目标定位、教师队伍建设、教学建设、质量保障、专业特色凝练、课程设置及毕业论文（设计）质量等方面存在的不足，并就存在问题提出建设性意见与建议。各参评专业均表示，将按照专家组反馈的意见建议，查漏补缺，尽快形成切实可行的整改方案，按照方案认真整改，不断提升专业办学质量。 </w:t>
      </w:r>
    </w:p>
    <w:p w:rsidR="0030734D" w:rsidRDefault="0030734D" w:rsidP="00B02B71">
      <w:pPr>
        <w:widowControl/>
        <w:spacing w:line="360" w:lineRule="auto"/>
        <w:ind w:firstLine="601"/>
        <w:jc w:val="left"/>
        <w:rPr>
          <w:rFonts w:ascii="仿宋" w:eastAsia="仿宋" w:hAnsi="仿宋" w:cs="宋体"/>
          <w:bCs/>
          <w:color w:val="333333"/>
          <w:kern w:val="0"/>
          <w:sz w:val="24"/>
          <w:szCs w:val="24"/>
        </w:rPr>
      </w:pPr>
    </w:p>
    <w:sectPr w:rsidR="0030734D" w:rsidSect="00693A4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B4" w:rsidRDefault="00A11AB4" w:rsidP="001E1848">
      <w:r>
        <w:separator/>
      </w:r>
    </w:p>
  </w:endnote>
  <w:endnote w:type="continuationSeparator" w:id="0">
    <w:p w:rsidR="00A11AB4" w:rsidRDefault="00A11AB4"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575146">
      <w:tc>
        <w:tcPr>
          <w:tcW w:w="750" w:type="pct"/>
        </w:tcPr>
        <w:p w:rsidR="00575146" w:rsidRDefault="00AC5FE9">
          <w:pPr>
            <w:pStyle w:val="a6"/>
            <w:jc w:val="right"/>
            <w:rPr>
              <w:color w:val="4F81BD" w:themeColor="accent1"/>
            </w:rPr>
          </w:pPr>
          <w:fldSimple w:instr=" PAGE   \* MERGEFORMAT ">
            <w:r w:rsidR="00156CCE" w:rsidRPr="00156CCE">
              <w:rPr>
                <w:noProof/>
                <w:color w:val="4F81BD" w:themeColor="accent1"/>
                <w:lang w:val="zh-CN"/>
              </w:rPr>
              <w:t>1</w:t>
            </w:r>
          </w:fldSimple>
        </w:p>
      </w:tc>
      <w:tc>
        <w:tcPr>
          <w:tcW w:w="4250" w:type="pct"/>
        </w:tcPr>
        <w:p w:rsidR="00575146" w:rsidRDefault="00575146">
          <w:pPr>
            <w:pStyle w:val="a6"/>
            <w:rPr>
              <w:color w:val="4F81BD" w:themeColor="accent1"/>
            </w:rPr>
          </w:pPr>
        </w:p>
      </w:tc>
    </w:tr>
  </w:tbl>
  <w:p w:rsidR="00575146" w:rsidRDefault="005751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B4" w:rsidRDefault="00A11AB4" w:rsidP="001E1848">
      <w:r>
        <w:separator/>
      </w:r>
    </w:p>
  </w:footnote>
  <w:footnote w:type="continuationSeparator" w:id="0">
    <w:p w:rsidR="00A11AB4" w:rsidRDefault="00A11AB4" w:rsidP="001E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46" w:rsidRDefault="00575146" w:rsidP="00575146">
    <w:pPr>
      <w:pStyle w:val="a5"/>
      <w:pBdr>
        <w:bottom w:val="none" w:sz="0" w:space="0" w:color="auto"/>
      </w:pBdr>
    </w:pPr>
  </w:p>
  <w:p w:rsidR="00575146" w:rsidRDefault="00575146" w:rsidP="005751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2BD0"/>
    <w:rsid w:val="00024E68"/>
    <w:rsid w:val="00047F73"/>
    <w:rsid w:val="00084D51"/>
    <w:rsid w:val="00156CCE"/>
    <w:rsid w:val="00180E40"/>
    <w:rsid w:val="00190E3E"/>
    <w:rsid w:val="001E1848"/>
    <w:rsid w:val="001E1F3E"/>
    <w:rsid w:val="001E5931"/>
    <w:rsid w:val="00200A41"/>
    <w:rsid w:val="00201DAC"/>
    <w:rsid w:val="0026524C"/>
    <w:rsid w:val="002B7056"/>
    <w:rsid w:val="002B75F5"/>
    <w:rsid w:val="002C1234"/>
    <w:rsid w:val="002F3840"/>
    <w:rsid w:val="0030734D"/>
    <w:rsid w:val="003527BB"/>
    <w:rsid w:val="00367357"/>
    <w:rsid w:val="003E5C83"/>
    <w:rsid w:val="004021BD"/>
    <w:rsid w:val="00445053"/>
    <w:rsid w:val="00485642"/>
    <w:rsid w:val="004C4502"/>
    <w:rsid w:val="005469D6"/>
    <w:rsid w:val="00554A51"/>
    <w:rsid w:val="00575146"/>
    <w:rsid w:val="005C417F"/>
    <w:rsid w:val="005F2ECD"/>
    <w:rsid w:val="00604B5A"/>
    <w:rsid w:val="00644549"/>
    <w:rsid w:val="00682DCB"/>
    <w:rsid w:val="00693A48"/>
    <w:rsid w:val="006B333F"/>
    <w:rsid w:val="006D6D70"/>
    <w:rsid w:val="006E3CAF"/>
    <w:rsid w:val="00730534"/>
    <w:rsid w:val="007B1AD9"/>
    <w:rsid w:val="007D1953"/>
    <w:rsid w:val="008058EA"/>
    <w:rsid w:val="00892E44"/>
    <w:rsid w:val="008E3275"/>
    <w:rsid w:val="0093306C"/>
    <w:rsid w:val="00966EAA"/>
    <w:rsid w:val="009C00EB"/>
    <w:rsid w:val="009D3E64"/>
    <w:rsid w:val="00A11AB4"/>
    <w:rsid w:val="00A66DA5"/>
    <w:rsid w:val="00A724D3"/>
    <w:rsid w:val="00AA5178"/>
    <w:rsid w:val="00AC5FE9"/>
    <w:rsid w:val="00B02B71"/>
    <w:rsid w:val="00B116B0"/>
    <w:rsid w:val="00B117A7"/>
    <w:rsid w:val="00B133AB"/>
    <w:rsid w:val="00BA7573"/>
    <w:rsid w:val="00BE38DA"/>
    <w:rsid w:val="00C30897"/>
    <w:rsid w:val="00CF54C0"/>
    <w:rsid w:val="00D0048D"/>
    <w:rsid w:val="00D235CB"/>
    <w:rsid w:val="00D2366D"/>
    <w:rsid w:val="00D355C3"/>
    <w:rsid w:val="00D42124"/>
    <w:rsid w:val="00D467E9"/>
    <w:rsid w:val="00DE122C"/>
    <w:rsid w:val="00DF59D1"/>
    <w:rsid w:val="00E235F3"/>
    <w:rsid w:val="00E37D0A"/>
    <w:rsid w:val="00E56CE4"/>
    <w:rsid w:val="00E95167"/>
    <w:rsid w:val="00ED310B"/>
    <w:rsid w:val="00ED6212"/>
    <w:rsid w:val="00EE6A6A"/>
    <w:rsid w:val="00EE6FEA"/>
    <w:rsid w:val="00F04C80"/>
    <w:rsid w:val="00F15B04"/>
    <w:rsid w:val="00F32D87"/>
    <w:rsid w:val="00F46695"/>
    <w:rsid w:val="00F66CA1"/>
    <w:rsid w:val="00F9734E"/>
    <w:rsid w:val="00FA7069"/>
    <w:rsid w:val="00FB4BEF"/>
    <w:rsid w:val="00FC06B3"/>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 w:type="paragraph" w:styleId="a8">
    <w:name w:val="Balloon Text"/>
    <w:basedOn w:val="a"/>
    <w:link w:val="Char1"/>
    <w:uiPriority w:val="99"/>
    <w:semiHidden/>
    <w:unhideWhenUsed/>
    <w:rsid w:val="0030734D"/>
    <w:rPr>
      <w:sz w:val="18"/>
      <w:szCs w:val="18"/>
    </w:rPr>
  </w:style>
  <w:style w:type="character" w:customStyle="1" w:styleId="Char1">
    <w:name w:val="批注框文本 Char"/>
    <w:basedOn w:val="a0"/>
    <w:link w:val="a8"/>
    <w:uiPriority w:val="99"/>
    <w:semiHidden/>
    <w:rsid w:val="0030734D"/>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2EFF-823F-4062-B821-7299AD35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2018-12-04T07:09:00Z</dcterms:created>
  <dcterms:modified xsi:type="dcterms:W3CDTF">2018-12-05T00:32:00Z</dcterms:modified>
</cp:coreProperties>
</file>