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B02B71">
        <w:rPr>
          <w:rFonts w:ascii="Arial" w:eastAsia="宋体" w:hAnsi="Arial" w:cs="Arial" w:hint="eastAsia"/>
          <w:b/>
          <w:bCs/>
          <w:color w:val="333333"/>
          <w:kern w:val="0"/>
          <w:sz w:val="32"/>
          <w:szCs w:val="32"/>
        </w:rPr>
        <w:t>2</w:t>
      </w:r>
      <w:r w:rsidR="009734A8">
        <w:rPr>
          <w:rFonts w:ascii="Arial" w:eastAsia="宋体" w:hAnsi="Arial" w:cs="Arial" w:hint="eastAsia"/>
          <w:b/>
          <w:bCs/>
          <w:color w:val="333333"/>
          <w:kern w:val="0"/>
          <w:sz w:val="32"/>
          <w:szCs w:val="32"/>
        </w:rPr>
        <w:t>4</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B02B71">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十</w:t>
      </w:r>
      <w:r w:rsidR="009734A8">
        <w:rPr>
          <w:rFonts w:ascii="宋体" w:eastAsia="宋体" w:hAnsi="宋体" w:cs="宋体" w:hint="eastAsia"/>
          <w:color w:val="555555"/>
          <w:kern w:val="0"/>
          <w:sz w:val="24"/>
          <w:szCs w:val="24"/>
        </w:rPr>
        <w:t>四</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C1F2C">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年</w:t>
      </w:r>
      <w:r w:rsidR="009734A8">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月</w:t>
      </w:r>
      <w:r w:rsidR="00024006">
        <w:rPr>
          <w:rFonts w:ascii="宋体" w:eastAsia="宋体" w:hAnsi="宋体" w:cs="宋体" w:hint="eastAsia"/>
          <w:b/>
          <w:bCs/>
          <w:color w:val="555555"/>
          <w:kern w:val="0"/>
          <w:sz w:val="24"/>
          <w:szCs w:val="24"/>
        </w:rPr>
        <w:t>2</w:t>
      </w:r>
      <w:r w:rsidR="004371E7">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4371E7">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9C46FD" w:rsidRDefault="00047F73" w:rsidP="004371E7">
      <w:pPr>
        <w:widowControl/>
        <w:spacing w:beforeLines="50" w:afterLines="50" w:line="360" w:lineRule="auto"/>
        <w:ind w:firstLineChars="200" w:firstLine="482"/>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9734A8" w:rsidRPr="009734A8">
        <w:rPr>
          <w:rFonts w:ascii="仿宋" w:eastAsia="仿宋" w:hAnsi="仿宋" w:hint="eastAsia"/>
          <w:b/>
          <w:bCs/>
          <w:color w:val="333333"/>
          <w:sz w:val="24"/>
          <w:szCs w:val="24"/>
        </w:rPr>
        <w:t>河北大学2018-2019学年秋学期本科课程考核试卷质量与管理评估分析报告</w:t>
      </w:r>
    </w:p>
    <w:p w:rsidR="009C46FD" w:rsidRDefault="009734A8" w:rsidP="004371E7">
      <w:pPr>
        <w:widowControl/>
        <w:spacing w:beforeLines="50" w:afterLines="50" w:line="360" w:lineRule="auto"/>
        <w:ind w:firstLineChars="200" w:firstLine="482"/>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734A8">
        <w:rPr>
          <w:rFonts w:ascii="仿宋" w:eastAsia="仿宋" w:hAnsi="仿宋" w:hint="eastAsia"/>
          <w:b/>
          <w:bCs/>
          <w:color w:val="333333"/>
          <w:sz w:val="24"/>
          <w:szCs w:val="24"/>
        </w:rPr>
        <w:t>河北大学2018-2019学年春学期学生评教分析报告</w:t>
      </w:r>
    </w:p>
    <w:p w:rsidR="009C46FD" w:rsidRPr="009C46FD" w:rsidRDefault="009C46FD" w:rsidP="004371E7">
      <w:pPr>
        <w:snapToGrid w:val="0"/>
        <w:spacing w:beforeLines="50" w:afterLines="50" w:line="360" w:lineRule="auto"/>
        <w:ind w:firstLineChars="200" w:firstLine="482"/>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C46FD">
        <w:rPr>
          <w:rFonts w:ascii="仿宋" w:eastAsia="仿宋" w:hAnsi="仿宋" w:hint="eastAsia"/>
          <w:b/>
          <w:bCs/>
          <w:color w:val="333333"/>
          <w:sz w:val="24"/>
          <w:szCs w:val="24"/>
        </w:rPr>
        <w:t>河北大学2018-2019学年春学期教师课程教学质量自我评价分析报告</w:t>
      </w:r>
    </w:p>
    <w:p w:rsidR="009C46FD" w:rsidRPr="009734A8" w:rsidRDefault="009C46FD" w:rsidP="009734A8">
      <w:pPr>
        <w:snapToGrid w:val="0"/>
        <w:spacing w:line="360" w:lineRule="auto"/>
        <w:ind w:firstLineChars="200" w:firstLine="482"/>
        <w:rPr>
          <w:rFonts w:ascii="仿宋" w:eastAsia="仿宋" w:hAnsi="仿宋"/>
          <w:b/>
          <w:bCs/>
          <w:color w:val="333333"/>
          <w:sz w:val="24"/>
          <w:szCs w:val="24"/>
        </w:rPr>
      </w:pPr>
    </w:p>
    <w:p w:rsidR="009B7019" w:rsidRDefault="009B7019" w:rsidP="00047F73">
      <w:pPr>
        <w:widowControl/>
        <w:spacing w:line="360" w:lineRule="auto"/>
        <w:ind w:firstLine="561"/>
        <w:jc w:val="left"/>
        <w:rPr>
          <w:rFonts w:ascii="仿宋" w:eastAsia="仿宋" w:hAnsi="仿宋"/>
          <w:b/>
          <w:bCs/>
          <w:color w:val="333333"/>
          <w:sz w:val="24"/>
          <w:szCs w:val="24"/>
        </w:rPr>
      </w:pPr>
    </w:p>
    <w:p w:rsidR="009734A8" w:rsidRDefault="009B7019"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9734A8" w:rsidRPr="009734A8">
        <w:rPr>
          <w:rFonts w:ascii="仿宋" w:eastAsia="仿宋" w:hAnsi="仿宋" w:hint="eastAsia"/>
          <w:b/>
          <w:bCs/>
          <w:color w:val="333333"/>
          <w:sz w:val="24"/>
          <w:szCs w:val="24"/>
        </w:rPr>
        <w:t>河北大学2018-2019学年秋学期本科课程考核试卷质量与管理评估分析报告</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2019年4 月8日至5月10日，教育教学质量评估中心（以下简称“评估中心”）组织督学对2018-2019学年秋学期本科课程考核试卷质量与管理情况进行了专项检查与评估。本次评估对象为学校普通本科专业人才培养方案开设的所有本科课程、所有考核方式的试卷，内容涵盖命题质量、试卷评阅与成绩评定、平时考核和试卷管理等四个方面。本次评估重点关注了2014年以来新入职教师承担的课程试卷。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评估期间，督学认真负责，按程序对课程考核材料逐项检查，填写《河北大学本科课程考核试卷质量与管理评价表》，提交了本科课程考核试卷质量与管理评估分析报告，并就存在问题、整改建议与学院进行及时沟通，各学院给予了积极配合。现将评估情况分析如下：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一、总体情况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本次评估共抽查27个教学单位以及团委、学生处和创新创业指导中心3个部门共388门次试卷，其中326门次评价为优秀，61门次评价为良好,1门次评价为合格。同时，督学对兰开夏学院8门课程的考核材料进行了检查。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lastRenderedPageBreak/>
        <w:t xml:space="preserve">评估发现，经过教育部本科教学工作审核评估及有针对性的整改，试卷命题、评阅及管理质量进一步提高，覆盖面适宜，题量适中，难易适度，参考答案和评分标准符合规范；试卷管理规范，材料归档齐全，装订整齐；试卷评阅规范，成绩评价全面，平时成绩和期末成绩比例恰当，给定有依据；试卷分析较为全面。大多数学院按照学校要求，组织人员对试卷进行了检查与自评，填写了《河北大学本科课程考核试卷质量与管理评价表》，完成了自评分析报告，各项自评材料存档齐全。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在评估过程中，部分学院领导和教学秘书虚心听取督学对试卷查阅工作情况的汇报，并做详细记录，并表示后续将进一步改进本科课程考核试卷质量与管理工作，不断提高管理水平，促进教学工作质量不断提升。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二、各评估指标情况分析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（一）命题质量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总体来看，大多数试卷命题能够以教学大纲为依据，以检查学生对基本知识、理论和技能的掌握、考查学生分析和解决问题的能力为目的，能够覆盖该课程主要内容，难易适度，具有一定的广度、深度；试题表达清晰、完整；参考答案与评分标准总体符合学校要求。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存在的主要问题如下：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1.试题题型和题目方面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个别试卷覆盖面小，命题随意、过易，题型较单一，主观题和客观题比例失当，个别试卷客观题所占比例过大，综合性题目和提高性题目偏少，有的选择题分值高达36分，有的甚至达到了60分，有的试卷小题分值偏高，题型结构不够合理。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有的论文考核命题缺乏对论文写作的具体要求。有的开卷考试试卷仍有名词解释填空等题型的题目，有的开卷考试只有简答题一种题型，不符合开卷考试的命题要求。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2.试题难易度方面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个别课程试题的难易程度把握不当。有的试题难度偏低，导致成绩偏高，卷面成绩优秀率高达45.45%；也有的试题难度偏大，导致学生成绩偏低，不及格率偏高，卷面成绩不及格率达88.64%。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3.试卷及答案规范方面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个别试卷评分标准没有要点分，缺乏操作性。有的课程A、B卷考核类型不一致，并且B卷不适合结课考核。有的论文考核的评分标准不够明确、具体，缺乏区分度，有</w:t>
      </w:r>
      <w:r w:rsidRPr="00024006">
        <w:rPr>
          <w:rFonts w:ascii="仿宋" w:eastAsia="仿宋" w:hAnsi="仿宋" w:cs="宋体" w:hint="eastAsia"/>
          <w:bCs/>
          <w:color w:val="333333"/>
          <w:kern w:val="0"/>
          <w:sz w:val="24"/>
          <w:szCs w:val="24"/>
        </w:rPr>
        <w:lastRenderedPageBreak/>
        <w:t xml:space="preserve">的课程试卷及答案打印不符合规范要求，有的标准答案没有给出详细的评分细则（步骤分）。个别课程试卷总分值不足100分，有的A和B卷的重复率高达34%。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（二）试卷评阅与成绩评定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总体来看，大部分学院试卷评阅质量较高，能做到红色水笔评阅，字体清晰，阅卷均采用给分制，要点分、题首分、卷首分等基本上齐全、准确，没有错判、漏判现象，阅卷与核分改动处，有教师签名，试卷评阅与成绩评定的规范性不断提高。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存在的主要问题如下：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1.试卷评阅方面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个别课程的试卷评阅仍有不规范现象，客观题或小题错的未计分（0），成绩改动没有签名，个别试卷缺少题首分、要点分，或给分位置不对，个别老师阅卷既有加分又有减分。有的论文考核课程未能按评分标准给分，只给一个总分。少数新入职教师在阅卷中分数改动不签名、分数书写不规范，用＋号、√号、画○等问题比较突出。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2.成绩评定方面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有的课程平时成绩评定不合理、不规范，考核方式单一，普遍突出的问题是平时成绩普遍偏高，存在过多满分，缺乏区分度。个别课程平时成绩的45分来自考勤。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3.期末成绩统计分析方面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教师对试卷分析定位不准确，未对试卷标准、存在的问题及原因进行分析，或者分析过于笼统简单，分析报告缺少针对性、不够具体，缺乏平行课程班级成绩的比较，没有提出问题和改进措施。不少任课教师阅卷后的教学反思不到位。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（三）试卷管理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试卷管理规范性整体状况良好，归档资料基本齐全。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存在的主要问题如下：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1.归档材料目录及装订不够规范，有的没有分册装订。部分归档目录未采用标准格式，也无页码。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2.有的试卷封面信息填写不完整、不规范；个别试卷封面信息填写有误，考核方式是论文考核却填写为开卷；有试卷打印稿中未标明试题分值。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3.有的考场报告单没有填写相关信息，只有学生签名。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三、改进建议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针对评估过程中存在的问题，督学提出如下建议：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lastRenderedPageBreak/>
        <w:t xml:space="preserve">（一） 进一步提高命题质量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要注意优化题型结构及分值分布的合理性，一般试卷应有四种以上题型，避免个别题目分值过大；要注重试卷内容、形式的规范性，充分考虑试题的难易度及评分要点；开卷考试试题应为具有一定难度的开放性题目，能考核学生对所学知识的灵活应用能力；论文考核的评分标准一定要明确具体，有操作性和区分度，阅卷时能够严格按标准逐项给分。A、B卷两套试卷的考核方式要一致。命题完成后，试题报送前一定要经主管领导审核并签字。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此外，部分课程应加大试题总量，鼓励师资力量雄厚的专业建立主要课程题(卷)库，以便更好地规范出题、考核等各个环节，客观反映出学生的整体实力和学习水平。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（二） 继续强调对试卷评阅及成绩评定的规范性认识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阅卷必须要遵守学校的统一规范，题首分、要点分齐全并书写标准，成绩若有改动，必须有签名。论文评阅要按制定的评分标准实行逐项给分。试卷封面信息填写一定要保证准确、完整、规范。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（三） 进一步规范对平时成绩的管理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重视平时成绩的记录，发挥平时成绩在调动学生学习过程积极性中的作用，增加平时成绩的考核方式、频次，适度降低考勤在平时成绩中的贡献度。平时成绩的评定一定要认真、客观，成绩要有合理的区分度。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（四）切实做好试卷分析环节工作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任课教师一定要认真做好试卷分析，重视试卷分析表的填写，要根据阅卷情况、同门课程平行班成绩等信息，对考核方式及试题的合理性以及考试成绩水平做出合理评估，对授课和命题环节进行反思，有针对性地找出整改的措施。根据期末考试成绩的统计分析，对发现的问题一定要深入分析具体原因，并提出在下一次命题、授课、选择考核方式及阅卷时应采取的改进措施。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（五） 归档材料做到完整和规范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面向教师进一步明确归档材料的类型、数量、填写要求、装订格式等问题，对于平时成绩登记表可向全体教师发布符合学校要求的统一模板，对于成绩登记表及期末成绩分析表可对打印格式及打印方法提出统一要求，从而力求打印归档材料的规范性、统一性。进一步完善管理程序，明确人员责任，在材料归档装订之前，增加检验环节，发现潜在问题，并与相关教师及时沟通，保证材料归档的完整性、规范性。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lastRenderedPageBreak/>
        <w:t xml:space="preserve">（六） 加强对新入职教师的培训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对新入职教师如何做好课程考核各环节的工作要加强培训，建议教学主管部门和各学院组织开展新入职教师和外聘教师的培训会，通过培训明确命题、阅卷和成绩评定各环节规范，避免出现评估中出现的相关问题，以进一步提高课程考核质量。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（七）建立适用于中外合作办学专业的课程考核质量评价体系 </w:t>
      </w:r>
    </w:p>
    <w:p w:rsidR="00024006" w:rsidRPr="00024006" w:rsidRDefault="00024006" w:rsidP="00024006">
      <w:pPr>
        <w:snapToGrid w:val="0"/>
        <w:spacing w:line="360" w:lineRule="auto"/>
        <w:ind w:firstLineChars="200" w:firstLine="480"/>
        <w:rPr>
          <w:rFonts w:ascii="仿宋" w:eastAsia="仿宋" w:hAnsi="仿宋" w:cs="宋体"/>
          <w:bCs/>
          <w:color w:val="333333"/>
          <w:kern w:val="0"/>
          <w:sz w:val="24"/>
          <w:szCs w:val="24"/>
        </w:rPr>
      </w:pPr>
      <w:r w:rsidRPr="00024006">
        <w:rPr>
          <w:rFonts w:ascii="仿宋" w:eastAsia="仿宋" w:hAnsi="仿宋" w:cs="宋体" w:hint="eastAsia"/>
          <w:bCs/>
          <w:color w:val="333333"/>
          <w:kern w:val="0"/>
          <w:sz w:val="24"/>
          <w:szCs w:val="24"/>
        </w:rPr>
        <w:t xml:space="preserve">鉴于兰开夏学院课程考核命题、成绩评定、登统等未执行学校统一管理规范，建议评估中心与教务处、兰开夏学院进行沟通，根据该学院办学特色制定课程考核管理规范，修订课程考核质量评价标准，以便于将对中外合作办学专业的质量监控纳入学校教学质量监控体系，不断规范教学管理，保障和提高教育教学质量。 </w:t>
      </w:r>
    </w:p>
    <w:p w:rsidR="009734A8" w:rsidRDefault="009734A8" w:rsidP="009734A8">
      <w:pPr>
        <w:snapToGrid w:val="0"/>
        <w:spacing w:line="360" w:lineRule="auto"/>
        <w:ind w:firstLineChars="200" w:firstLine="480"/>
        <w:rPr>
          <w:rFonts w:ascii="仿宋" w:eastAsia="仿宋" w:hAnsi="仿宋" w:cs="宋体"/>
          <w:bCs/>
          <w:color w:val="333333"/>
          <w:kern w:val="0"/>
          <w:sz w:val="24"/>
          <w:szCs w:val="24"/>
        </w:rPr>
      </w:pPr>
    </w:p>
    <w:p w:rsidR="009734A8" w:rsidRPr="009734A8" w:rsidRDefault="009734A8" w:rsidP="009734A8">
      <w:pPr>
        <w:snapToGrid w:val="0"/>
        <w:spacing w:line="360" w:lineRule="auto"/>
        <w:ind w:firstLineChars="200" w:firstLine="482"/>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734A8">
        <w:rPr>
          <w:rFonts w:ascii="仿宋" w:eastAsia="仿宋" w:hAnsi="仿宋" w:hint="eastAsia"/>
          <w:b/>
          <w:bCs/>
          <w:color w:val="333333"/>
          <w:sz w:val="24"/>
          <w:szCs w:val="24"/>
        </w:rPr>
        <w:t>河北大学2018-2019学年春学期学生评教分析报告</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2019年5月17日～6月10日，教育教学质量评估中心组织开展了2018-2019学年春学期学生评教工作。为保证评教系统正常运行，本次评教继续采用各年级分段评教，评教方式为电脑评教和手机评教。针对没有纳入综合教务系统内的课程，评估中心组织学生开展了纸质评教。</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一、学生评教实施总体情况</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（一）评教范围</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被评教师为该学期为本科生讲授理论课程、实验课程和实践课程的教师，其中实践课程包括毕业论文（设计）、毕业实习、见习和校外实践等课程，集中实践周课程不在评价范围内；参评学生为本学期修读被评课程的全体学生。</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（二）评教标准</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遵循教学过程和教学效果并重的原则，评价课程类型分为人文课程、理工课程、外语课程、艺术课程、艺术课程（实践）、体育课程、实验课程和实践课程等八类，评价指标包含教学内容、教学态度、教学水平和教学效果四个方面，共10项内容，满分100分。</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（三）成绩统计方法</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学生评教率达到80%及以上的评教数据为有效数据，计算教师评教成绩。为保证评教信度和效度，评教结果统计时，将学生评教有效数据排序，去除前后各5%数据后，再取其平均值，形成了每位任课教师的评教成绩。</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lastRenderedPageBreak/>
        <w:t>（四）成绩查询</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评教结束后，评估中心及时向各教学单位反馈任课教师评教成绩，各单位将评教总体情况通报给全体教师，任课教师也可通过教务系统入口查询评教结果。</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 xml:space="preserve"> 具体查询方式为：河北大学主页——左下“教育教学”——“教务系统”——“教学评估”——“评估结果查询”——选择对应的学年学期（2018-2019学年春（三学期））——点击查询，可以查看平均分、详细评估结果和学生主观评价。</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如成绩显示为0，则说明此课堂学生评教率不足80%。</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二、学生评教整体情况</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从参评学生与被评教师、课程情况看，学生（不含工商学院）应参评人次</w:t>
      </w:r>
      <w:r w:rsidRPr="009734A8">
        <w:rPr>
          <w:rFonts w:ascii="仿宋" w:eastAsia="仿宋" w:hAnsi="仿宋" w:cs="宋体"/>
          <w:bCs/>
          <w:color w:val="333333"/>
          <w:kern w:val="0"/>
          <w:sz w:val="24"/>
          <w:szCs w:val="24"/>
        </w:rPr>
        <w:t>325188</w:t>
      </w:r>
      <w:r w:rsidRPr="009734A8">
        <w:rPr>
          <w:rFonts w:ascii="仿宋" w:eastAsia="仿宋" w:hAnsi="仿宋" w:cs="宋体" w:hint="eastAsia"/>
          <w:bCs/>
          <w:color w:val="333333"/>
          <w:kern w:val="0"/>
          <w:sz w:val="24"/>
          <w:szCs w:val="24"/>
        </w:rPr>
        <w:t>，实际参评人次</w:t>
      </w:r>
      <w:r w:rsidRPr="009734A8">
        <w:rPr>
          <w:rFonts w:ascii="仿宋" w:eastAsia="仿宋" w:hAnsi="仿宋" w:cs="宋体"/>
          <w:bCs/>
          <w:color w:val="333333"/>
          <w:kern w:val="0"/>
          <w:sz w:val="24"/>
          <w:szCs w:val="24"/>
        </w:rPr>
        <w:t>286384</w:t>
      </w:r>
      <w:r w:rsidRPr="009734A8">
        <w:rPr>
          <w:rFonts w:ascii="仿宋" w:eastAsia="仿宋" w:hAnsi="仿宋" w:cs="宋体" w:hint="eastAsia"/>
          <w:bCs/>
          <w:color w:val="333333"/>
          <w:kern w:val="0"/>
          <w:sz w:val="24"/>
          <w:szCs w:val="24"/>
        </w:rPr>
        <w:t>，参评率为88.07%。应评教师1720人，实评教师1719人；应评课程2476门、5378门次,实评课程2474门、5360门次。</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从评教结果看，参评教师成绩最高分为100分，最低分为71.15分，全校平均分为96.91分。评教成绩排名前10%的教师人数326人（评教成绩大于等于99.47），排名后10%教师人数311人（评教成绩小于等于93.89）。评教成绩低于90分的课程门次119，低于85分的课程门次33。</w:t>
      </w:r>
    </w:p>
    <w:p w:rsidR="009734A8" w:rsidRPr="00446A00" w:rsidRDefault="009734A8" w:rsidP="009734A8">
      <w:pPr>
        <w:snapToGrid w:val="0"/>
        <w:ind w:firstLineChars="200" w:firstLine="562"/>
        <w:jc w:val="center"/>
        <w:rPr>
          <w:rFonts w:ascii="仿宋" w:eastAsia="仿宋" w:hAnsi="仿宋"/>
          <w:b/>
          <w:sz w:val="28"/>
          <w:szCs w:val="28"/>
        </w:rPr>
      </w:pPr>
      <w:r w:rsidRPr="00446A00">
        <w:rPr>
          <w:rFonts w:ascii="仿宋" w:eastAsia="仿宋" w:hAnsi="仿宋" w:hint="eastAsia"/>
          <w:b/>
          <w:sz w:val="28"/>
          <w:szCs w:val="28"/>
        </w:rPr>
        <w:t>表1  各教学单位学生参评率</w:t>
      </w:r>
    </w:p>
    <w:tbl>
      <w:tblPr>
        <w:tblW w:w="8160" w:type="dxa"/>
        <w:tblInd w:w="93" w:type="dxa"/>
        <w:tblLook w:val="04A0"/>
      </w:tblPr>
      <w:tblGrid>
        <w:gridCol w:w="960"/>
        <w:gridCol w:w="3400"/>
        <w:gridCol w:w="1240"/>
        <w:gridCol w:w="1360"/>
        <w:gridCol w:w="1200"/>
      </w:tblGrid>
      <w:tr w:rsidR="009734A8" w:rsidRPr="0043162F" w:rsidTr="009734A8">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序号</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学院</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应评人次</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已评人次</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参评率</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snapToGrid w:val="0"/>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snapToGrid w:val="0"/>
              <w:jc w:val="center"/>
              <w:rPr>
                <w:rFonts w:ascii="仿宋" w:eastAsia="仿宋" w:hAnsi="仿宋" w:cs="宋体"/>
                <w:color w:val="000000"/>
                <w:sz w:val="24"/>
                <w:szCs w:val="24"/>
              </w:rPr>
            </w:pPr>
            <w:r w:rsidRPr="00446A00">
              <w:rPr>
                <w:rFonts w:ascii="仿宋" w:eastAsia="仿宋" w:hAnsi="仿宋" w:hint="eastAsia"/>
                <w:color w:val="000000"/>
                <w:sz w:val="24"/>
                <w:szCs w:val="24"/>
              </w:rPr>
              <w:t>文学院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7035</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5839</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83.00%</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历史学院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2531</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2270</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89.69%</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3</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新闻传播学院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14605</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13193</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90.33%</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4</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经济学院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18989</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16796</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88.45%</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5</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管理学院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25431</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23594</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92.78%</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6</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外国语学院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25431</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23594</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92.78%</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7</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教育学院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4972</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4796</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96.46%</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8</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政法学院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10905</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9788</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89.76%</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9</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艺术学院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13282</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10376</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78.12%</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10</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数学与信息科学学院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11364</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10265</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90.33%</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11</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网络空间安全与计算机学院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9965</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9171</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92.03%</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12</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物理科学与技术学院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13110</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11812</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90.10%</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13</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化学与环境科学学院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17547</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14756</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84.09%</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14</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生命科学学院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13302</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11996</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90.18%</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lastRenderedPageBreak/>
              <w:t>15</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电子信息工程学院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24137</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20577</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85.25%</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16</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建筑工程学院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17815</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12465</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69.97%</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17</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质量技术监督学院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16548</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15101</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91.26%</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18</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药学院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11377</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9960</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87.55%</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19</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公共卫生学院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17487</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16303</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93.23%</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20</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护理学院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15692</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13678</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87.17%</w:t>
            </w:r>
          </w:p>
        </w:tc>
      </w:tr>
      <w:tr w:rsidR="009734A8" w:rsidRPr="0043162F" w:rsidTr="009734A8">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21</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医学院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20311</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18702</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92.08%</w:t>
            </w:r>
          </w:p>
        </w:tc>
      </w:tr>
      <w:tr w:rsidR="009734A8" w:rsidRPr="0043162F" w:rsidTr="009734A8">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22</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中医学院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8676</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7989</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92.08%</w:t>
            </w:r>
          </w:p>
        </w:tc>
      </w:tr>
      <w:tr w:rsidR="009734A8" w:rsidRPr="0043162F" w:rsidTr="009734A8">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宋体"/>
                <w:color w:val="000000"/>
                <w:sz w:val="24"/>
                <w:szCs w:val="24"/>
              </w:rPr>
            </w:pPr>
            <w:r w:rsidRPr="00446A00">
              <w:rPr>
                <w:rFonts w:ascii="仿宋" w:eastAsia="仿宋" w:hAnsi="仿宋" w:cs="Arial" w:hint="eastAsia"/>
                <w:color w:val="000000"/>
                <w:kern w:val="0"/>
                <w:sz w:val="24"/>
                <w:szCs w:val="24"/>
              </w:rPr>
              <w:t>23</w:t>
            </w:r>
          </w:p>
        </w:tc>
        <w:tc>
          <w:tcPr>
            <w:tcW w:w="34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jc w:val="center"/>
              <w:rPr>
                <w:rFonts w:ascii="仿宋" w:eastAsia="仿宋" w:hAnsi="仿宋" w:cs="宋体"/>
                <w:color w:val="000000"/>
                <w:sz w:val="24"/>
                <w:szCs w:val="24"/>
              </w:rPr>
            </w:pPr>
            <w:r w:rsidRPr="00446A00">
              <w:rPr>
                <w:rFonts w:ascii="仿宋" w:eastAsia="仿宋" w:hAnsi="仿宋" w:hint="eastAsia"/>
                <w:color w:val="000000"/>
                <w:sz w:val="24"/>
                <w:szCs w:val="24"/>
              </w:rPr>
              <w:t>河北大学-中央兰开夏传媒与创意学院</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4676</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center"/>
              <w:rPr>
                <w:rFonts w:ascii="仿宋" w:eastAsia="仿宋" w:hAnsi="仿宋"/>
                <w:color w:val="000000"/>
                <w:sz w:val="24"/>
                <w:szCs w:val="24"/>
              </w:rPr>
            </w:pPr>
            <w:r w:rsidRPr="00BE193C">
              <w:rPr>
                <w:rFonts w:ascii="仿宋" w:eastAsia="仿宋" w:hAnsi="仿宋" w:hint="eastAsia"/>
                <w:color w:val="000000"/>
                <w:sz w:val="24"/>
                <w:szCs w:val="24"/>
              </w:rPr>
              <w:t>3363</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BE193C" w:rsidRDefault="009734A8" w:rsidP="009734A8">
            <w:pPr>
              <w:jc w:val="right"/>
              <w:rPr>
                <w:rFonts w:ascii="仿宋" w:eastAsia="仿宋" w:hAnsi="仿宋"/>
                <w:color w:val="000000"/>
                <w:sz w:val="24"/>
                <w:szCs w:val="24"/>
              </w:rPr>
            </w:pPr>
            <w:r w:rsidRPr="00BE193C">
              <w:rPr>
                <w:rFonts w:ascii="仿宋" w:eastAsia="仿宋" w:hAnsi="仿宋" w:hint="eastAsia"/>
                <w:color w:val="000000"/>
                <w:sz w:val="24"/>
                <w:szCs w:val="24"/>
              </w:rPr>
              <w:t>71.92%</w:t>
            </w:r>
          </w:p>
        </w:tc>
      </w:tr>
      <w:tr w:rsidR="009734A8" w:rsidRPr="0043162F" w:rsidTr="009734A8">
        <w:trPr>
          <w:trHeight w:val="555"/>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34A8" w:rsidRPr="00446A00" w:rsidRDefault="009734A8" w:rsidP="009734A8">
            <w:pPr>
              <w:widowControl/>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学生总体评教率</w:t>
            </w:r>
          </w:p>
        </w:tc>
        <w:tc>
          <w:tcPr>
            <w:tcW w:w="124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b/>
                <w:bCs/>
                <w:color w:val="000000"/>
                <w:kern w:val="0"/>
                <w:sz w:val="24"/>
                <w:szCs w:val="24"/>
              </w:rPr>
            </w:pPr>
            <w:r w:rsidRPr="00EB490F">
              <w:rPr>
                <w:rFonts w:ascii="仿宋" w:eastAsia="仿宋" w:hAnsi="仿宋" w:cs="Arial"/>
                <w:b/>
                <w:bCs/>
                <w:color w:val="000000"/>
                <w:kern w:val="0"/>
                <w:sz w:val="24"/>
                <w:szCs w:val="24"/>
              </w:rPr>
              <w:t>325188</w:t>
            </w:r>
          </w:p>
        </w:tc>
        <w:tc>
          <w:tcPr>
            <w:tcW w:w="136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b/>
                <w:bCs/>
                <w:color w:val="000000"/>
                <w:kern w:val="0"/>
                <w:sz w:val="24"/>
                <w:szCs w:val="24"/>
              </w:rPr>
            </w:pPr>
            <w:r w:rsidRPr="00917B0E">
              <w:rPr>
                <w:rFonts w:ascii="仿宋" w:eastAsia="仿宋" w:hAnsi="仿宋" w:cs="Arial"/>
                <w:b/>
                <w:bCs/>
                <w:color w:val="000000"/>
                <w:kern w:val="0"/>
                <w:sz w:val="24"/>
                <w:szCs w:val="24"/>
              </w:rPr>
              <w:t>286384</w:t>
            </w:r>
          </w:p>
        </w:tc>
        <w:tc>
          <w:tcPr>
            <w:tcW w:w="1200" w:type="dxa"/>
            <w:tcBorders>
              <w:top w:val="nil"/>
              <w:left w:val="nil"/>
              <w:bottom w:val="single" w:sz="4" w:space="0" w:color="auto"/>
              <w:right w:val="single" w:sz="4" w:space="0" w:color="auto"/>
            </w:tcBorders>
            <w:shd w:val="clear" w:color="auto" w:fill="auto"/>
            <w:noWrap/>
            <w:vAlign w:val="center"/>
            <w:hideMark/>
          </w:tcPr>
          <w:p w:rsidR="009734A8" w:rsidRPr="00446A00" w:rsidRDefault="009734A8" w:rsidP="009734A8">
            <w:pPr>
              <w:widowControl/>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8</w:t>
            </w:r>
            <w:r>
              <w:rPr>
                <w:rFonts w:ascii="仿宋" w:eastAsia="仿宋" w:hAnsi="仿宋" w:cs="Arial" w:hint="eastAsia"/>
                <w:b/>
                <w:bCs/>
                <w:color w:val="000000"/>
                <w:kern w:val="0"/>
                <w:sz w:val="24"/>
                <w:szCs w:val="24"/>
              </w:rPr>
              <w:t>8.07%</w:t>
            </w:r>
          </w:p>
        </w:tc>
      </w:tr>
    </w:tbl>
    <w:p w:rsidR="009734A8" w:rsidRDefault="009734A8" w:rsidP="009734A8">
      <w:pPr>
        <w:snapToGrid w:val="0"/>
        <w:ind w:firstLineChars="200" w:firstLine="482"/>
        <w:jc w:val="center"/>
        <w:rPr>
          <w:rFonts w:asciiTheme="majorEastAsia" w:eastAsiaTheme="majorEastAsia" w:hAnsiTheme="majorEastAsia"/>
          <w:b/>
          <w:sz w:val="24"/>
          <w:szCs w:val="24"/>
        </w:rPr>
      </w:pPr>
    </w:p>
    <w:p w:rsidR="009734A8" w:rsidRDefault="009734A8" w:rsidP="009734A8">
      <w:pPr>
        <w:snapToGrid w:val="0"/>
        <w:ind w:firstLineChars="200" w:firstLine="482"/>
        <w:jc w:val="center"/>
        <w:rPr>
          <w:rFonts w:asciiTheme="majorEastAsia" w:eastAsiaTheme="majorEastAsia" w:hAnsiTheme="majorEastAsia"/>
          <w:b/>
          <w:sz w:val="24"/>
          <w:szCs w:val="24"/>
        </w:rPr>
      </w:pPr>
    </w:p>
    <w:p w:rsidR="009734A8" w:rsidRPr="00446A00" w:rsidRDefault="009734A8" w:rsidP="009734A8">
      <w:pPr>
        <w:snapToGrid w:val="0"/>
        <w:ind w:firstLineChars="200" w:firstLine="562"/>
        <w:jc w:val="center"/>
        <w:rPr>
          <w:rFonts w:ascii="仿宋" w:eastAsia="仿宋" w:hAnsi="仿宋"/>
          <w:b/>
          <w:sz w:val="28"/>
          <w:szCs w:val="28"/>
        </w:rPr>
      </w:pPr>
      <w:r w:rsidRPr="00446A00">
        <w:rPr>
          <w:rFonts w:ascii="仿宋" w:eastAsia="仿宋" w:hAnsi="仿宋" w:hint="eastAsia"/>
          <w:b/>
          <w:sz w:val="28"/>
          <w:szCs w:val="28"/>
        </w:rPr>
        <w:t>表</w:t>
      </w:r>
      <w:r>
        <w:rPr>
          <w:rFonts w:ascii="仿宋" w:eastAsia="仿宋" w:hAnsi="仿宋" w:hint="eastAsia"/>
          <w:b/>
          <w:sz w:val="28"/>
          <w:szCs w:val="28"/>
        </w:rPr>
        <w:t xml:space="preserve">2 </w:t>
      </w:r>
      <w:r w:rsidRPr="00446A00">
        <w:rPr>
          <w:rFonts w:ascii="仿宋" w:eastAsia="仿宋" w:hAnsi="仿宋" w:hint="eastAsia"/>
          <w:b/>
          <w:sz w:val="28"/>
          <w:szCs w:val="28"/>
        </w:rPr>
        <w:t>各教学单位平均评教成绩</w:t>
      </w:r>
    </w:p>
    <w:tbl>
      <w:tblPr>
        <w:tblW w:w="8140" w:type="dxa"/>
        <w:tblInd w:w="93" w:type="dxa"/>
        <w:tblLook w:val="04A0"/>
      </w:tblPr>
      <w:tblGrid>
        <w:gridCol w:w="720"/>
        <w:gridCol w:w="1660"/>
        <w:gridCol w:w="2030"/>
        <w:gridCol w:w="1984"/>
        <w:gridCol w:w="1746"/>
      </w:tblGrid>
      <w:tr w:rsidR="009734A8" w:rsidRPr="00B738DA" w:rsidTr="009734A8">
        <w:trPr>
          <w:trHeight w:val="585"/>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b/>
                <w:bCs/>
                <w:color w:val="000000"/>
                <w:kern w:val="0"/>
                <w:sz w:val="24"/>
                <w:szCs w:val="24"/>
              </w:rPr>
            </w:pPr>
            <w:r w:rsidRPr="00B738DA">
              <w:rPr>
                <w:rFonts w:ascii="仿宋" w:eastAsia="仿宋" w:hAnsi="仿宋" w:cs="宋体" w:hint="eastAsia"/>
                <w:b/>
                <w:bCs/>
                <w:color w:val="000000"/>
                <w:kern w:val="0"/>
                <w:sz w:val="24"/>
                <w:szCs w:val="24"/>
              </w:rPr>
              <w:t>序号</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b/>
                <w:bCs/>
                <w:color w:val="000000"/>
                <w:kern w:val="0"/>
                <w:sz w:val="24"/>
                <w:szCs w:val="24"/>
              </w:rPr>
            </w:pPr>
            <w:r w:rsidRPr="00B738DA">
              <w:rPr>
                <w:rFonts w:ascii="仿宋" w:eastAsia="仿宋" w:hAnsi="仿宋" w:cs="宋体" w:hint="eastAsia"/>
                <w:b/>
                <w:bCs/>
                <w:color w:val="000000"/>
                <w:kern w:val="0"/>
                <w:sz w:val="24"/>
                <w:szCs w:val="24"/>
              </w:rPr>
              <w:t>学院</w:t>
            </w:r>
          </w:p>
        </w:tc>
        <w:tc>
          <w:tcPr>
            <w:tcW w:w="2030" w:type="dxa"/>
            <w:tcBorders>
              <w:top w:val="single" w:sz="8" w:space="0" w:color="auto"/>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评教成绩最高</w:t>
            </w:r>
            <w:r w:rsidRPr="00B738DA">
              <w:rPr>
                <w:rFonts w:ascii="仿宋" w:eastAsia="仿宋" w:hAnsi="仿宋" w:cs="宋体" w:hint="eastAsia"/>
                <w:b/>
                <w:bCs/>
                <w:color w:val="000000"/>
                <w:kern w:val="0"/>
                <w:sz w:val="24"/>
                <w:szCs w:val="24"/>
              </w:rPr>
              <w:t>分</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b/>
                <w:bCs/>
                <w:color w:val="000000"/>
                <w:kern w:val="0"/>
                <w:sz w:val="24"/>
                <w:szCs w:val="24"/>
              </w:rPr>
            </w:pPr>
            <w:r w:rsidRPr="00B738DA">
              <w:rPr>
                <w:rFonts w:ascii="仿宋" w:eastAsia="仿宋" w:hAnsi="仿宋" w:cs="宋体" w:hint="eastAsia"/>
                <w:b/>
                <w:bCs/>
                <w:color w:val="000000"/>
                <w:kern w:val="0"/>
                <w:sz w:val="24"/>
                <w:szCs w:val="24"/>
              </w:rPr>
              <w:t>评教成绩最低分</w:t>
            </w:r>
          </w:p>
        </w:tc>
        <w:tc>
          <w:tcPr>
            <w:tcW w:w="1746" w:type="dxa"/>
            <w:tcBorders>
              <w:top w:val="single" w:sz="8" w:space="0" w:color="auto"/>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b/>
                <w:bCs/>
                <w:color w:val="000000"/>
                <w:kern w:val="0"/>
                <w:sz w:val="24"/>
                <w:szCs w:val="24"/>
              </w:rPr>
            </w:pPr>
            <w:r w:rsidRPr="00B738DA">
              <w:rPr>
                <w:rFonts w:ascii="仿宋" w:eastAsia="仿宋" w:hAnsi="仿宋" w:cs="宋体" w:hint="eastAsia"/>
                <w:b/>
                <w:bCs/>
                <w:color w:val="000000"/>
                <w:kern w:val="0"/>
                <w:sz w:val="24"/>
                <w:szCs w:val="24"/>
              </w:rPr>
              <w:t xml:space="preserve">平均评教成绩  </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文学院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99.94</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87.21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96.72</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历史学院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83.82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96.11</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3</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新闻传播学院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73.19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96.23</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4</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经济学院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86.69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96.85</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5</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管理学院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99.93</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83.16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96.16</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6</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外国语学院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84.65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96.88</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7</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教育学院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99.93</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88.41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96.77</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8</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政法学院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85.83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97.43</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艺术学院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74.76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97.44</w:t>
            </w:r>
          </w:p>
        </w:tc>
      </w:tr>
      <w:tr w:rsidR="009734A8" w:rsidRPr="00B738DA" w:rsidTr="009734A8">
        <w:trPr>
          <w:trHeight w:val="58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数学与信息科学学院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99.9</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84.95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97.22</w:t>
            </w:r>
          </w:p>
        </w:tc>
      </w:tr>
      <w:tr w:rsidR="009734A8" w:rsidRPr="00B738DA" w:rsidTr="009734A8">
        <w:trPr>
          <w:trHeight w:val="58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11</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网络空间安全与计算机学院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88.00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97.27</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12</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物理科学与技术学院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77.33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96.52</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13</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化学与环境科学学院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86.97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97.73</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14</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生命科学学院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93.36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98.02</w:t>
            </w:r>
          </w:p>
        </w:tc>
      </w:tr>
      <w:tr w:rsidR="009734A8" w:rsidRPr="00B738DA" w:rsidTr="009734A8">
        <w:trPr>
          <w:trHeight w:val="58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15</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电子信息工程学院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89.29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97.65</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lastRenderedPageBreak/>
              <w:t>16</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建筑工程学院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99.97</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92.59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97.92</w:t>
            </w:r>
          </w:p>
        </w:tc>
      </w:tr>
      <w:tr w:rsidR="009734A8" w:rsidRPr="00B738DA" w:rsidTr="009734A8">
        <w:trPr>
          <w:trHeight w:val="58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17</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质量技术监督学院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84.38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96.87</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18</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药学院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99.28</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90.67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97.05</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19</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公共卫生学院</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71.15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96.27</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20</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护理学院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99.06</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87.35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96.23</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21</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医学院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86.47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96.77</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22</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中医学院</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99.82</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94.50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97.64</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23</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马克思主义学院</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99.91</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81.02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95.37</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24</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公共外语教学部</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82.97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97.31</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25</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体育教学部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100</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85.81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97.25</w:t>
            </w:r>
          </w:p>
        </w:tc>
      </w:tr>
      <w:tr w:rsidR="009734A8" w:rsidRPr="00B738DA" w:rsidTr="009734A8">
        <w:trPr>
          <w:trHeight w:val="40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26</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计算机教学部       </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99.61</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86.74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95.65</w:t>
            </w:r>
          </w:p>
        </w:tc>
      </w:tr>
      <w:tr w:rsidR="009734A8" w:rsidRPr="00B738DA" w:rsidTr="009734A8">
        <w:trPr>
          <w:trHeight w:val="64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27</w:t>
            </w:r>
          </w:p>
        </w:tc>
        <w:tc>
          <w:tcPr>
            <w:tcW w:w="166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河北大学-中央兰开夏传媒与创意学院</w:t>
            </w:r>
          </w:p>
        </w:tc>
        <w:tc>
          <w:tcPr>
            <w:tcW w:w="2030"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99.17</w:t>
            </w:r>
          </w:p>
        </w:tc>
        <w:tc>
          <w:tcPr>
            <w:tcW w:w="1984"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 xml:space="preserve">82.41 </w:t>
            </w:r>
          </w:p>
        </w:tc>
        <w:tc>
          <w:tcPr>
            <w:tcW w:w="1746" w:type="dxa"/>
            <w:tcBorders>
              <w:top w:val="nil"/>
              <w:left w:val="nil"/>
              <w:bottom w:val="single" w:sz="8" w:space="0" w:color="auto"/>
              <w:right w:val="single" w:sz="8" w:space="0" w:color="auto"/>
            </w:tcBorders>
            <w:shd w:val="clear" w:color="auto" w:fill="auto"/>
            <w:vAlign w:val="center"/>
            <w:hideMark/>
          </w:tcPr>
          <w:p w:rsidR="009734A8" w:rsidRPr="00B738DA" w:rsidRDefault="009734A8" w:rsidP="009734A8">
            <w:pPr>
              <w:widowControl/>
              <w:jc w:val="center"/>
              <w:rPr>
                <w:rFonts w:ascii="仿宋" w:eastAsia="仿宋" w:hAnsi="仿宋" w:cs="宋体"/>
                <w:color w:val="000000"/>
                <w:kern w:val="0"/>
                <w:sz w:val="24"/>
                <w:szCs w:val="24"/>
              </w:rPr>
            </w:pPr>
            <w:r w:rsidRPr="00B738DA">
              <w:rPr>
                <w:rFonts w:ascii="仿宋" w:eastAsia="仿宋" w:hAnsi="仿宋" w:cs="宋体" w:hint="eastAsia"/>
                <w:color w:val="000000"/>
                <w:kern w:val="0"/>
                <w:sz w:val="24"/>
                <w:szCs w:val="24"/>
              </w:rPr>
              <w:t>92.48</w:t>
            </w:r>
          </w:p>
        </w:tc>
      </w:tr>
    </w:tbl>
    <w:p w:rsidR="009734A8" w:rsidRDefault="009734A8" w:rsidP="004371E7">
      <w:pPr>
        <w:spacing w:beforeLines="50" w:line="380" w:lineRule="exact"/>
        <w:ind w:firstLineChars="200" w:firstLine="482"/>
        <w:jc w:val="center"/>
        <w:rPr>
          <w:rFonts w:asciiTheme="majorEastAsia" w:eastAsiaTheme="majorEastAsia" w:hAnsiTheme="majorEastAsia"/>
          <w:b/>
          <w:sz w:val="24"/>
          <w:szCs w:val="24"/>
        </w:rPr>
      </w:pPr>
    </w:p>
    <w:p w:rsidR="009734A8" w:rsidRPr="00446A00" w:rsidRDefault="009734A8" w:rsidP="009734A8">
      <w:pPr>
        <w:snapToGrid w:val="0"/>
        <w:ind w:firstLineChars="200" w:firstLine="562"/>
        <w:jc w:val="center"/>
        <w:rPr>
          <w:rFonts w:ascii="仿宋" w:eastAsia="仿宋" w:hAnsi="仿宋"/>
          <w:b/>
          <w:sz w:val="28"/>
          <w:szCs w:val="28"/>
        </w:rPr>
      </w:pPr>
      <w:r w:rsidRPr="00446A00">
        <w:rPr>
          <w:rFonts w:ascii="仿宋" w:eastAsia="仿宋" w:hAnsi="仿宋"/>
          <w:b/>
          <w:sz w:val="28"/>
          <w:szCs w:val="28"/>
        </w:rPr>
        <w:t>表</w:t>
      </w:r>
      <w:r w:rsidRPr="00446A00">
        <w:rPr>
          <w:rFonts w:ascii="仿宋" w:eastAsia="仿宋" w:hAnsi="仿宋" w:hint="eastAsia"/>
          <w:b/>
          <w:sz w:val="28"/>
          <w:szCs w:val="28"/>
        </w:rPr>
        <w:t>3 各教学单位参评门次排名前10%和后10%具体情况</w:t>
      </w:r>
    </w:p>
    <w:p w:rsidR="009734A8" w:rsidRDefault="009734A8" w:rsidP="009734A8">
      <w:pPr>
        <w:jc w:val="center"/>
        <w:rPr>
          <w:rFonts w:ascii="仿宋" w:eastAsia="仿宋" w:hAnsi="仿宋"/>
          <w:color w:val="000000"/>
          <w:sz w:val="24"/>
          <w:szCs w:val="24"/>
        </w:rPr>
      </w:pPr>
      <w:r w:rsidRPr="00446A00">
        <w:rPr>
          <w:rFonts w:ascii="仿宋" w:eastAsia="仿宋" w:hAnsi="仿宋" w:hint="eastAsia"/>
          <w:color w:val="000000"/>
          <w:sz w:val="24"/>
          <w:szCs w:val="24"/>
        </w:rPr>
        <w:t>（参评门次按照教师所在院系统计）</w:t>
      </w:r>
    </w:p>
    <w:p w:rsidR="009734A8" w:rsidRPr="00446A00" w:rsidRDefault="009734A8" w:rsidP="009734A8">
      <w:pPr>
        <w:jc w:val="center"/>
        <w:rPr>
          <w:rFonts w:ascii="仿宋" w:eastAsia="仿宋" w:hAnsi="仿宋"/>
          <w:color w:val="000000"/>
          <w:sz w:val="24"/>
          <w:szCs w:val="24"/>
        </w:rPr>
      </w:pPr>
    </w:p>
    <w:tbl>
      <w:tblPr>
        <w:tblW w:w="8412" w:type="dxa"/>
        <w:jc w:val="center"/>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3"/>
        <w:gridCol w:w="2409"/>
        <w:gridCol w:w="933"/>
        <w:gridCol w:w="973"/>
        <w:gridCol w:w="1071"/>
        <w:gridCol w:w="906"/>
        <w:gridCol w:w="1077"/>
      </w:tblGrid>
      <w:tr w:rsidR="009734A8" w:rsidRPr="00446A00" w:rsidTr="009734A8">
        <w:trPr>
          <w:trHeight w:val="780"/>
          <w:jc w:val="center"/>
        </w:trPr>
        <w:tc>
          <w:tcPr>
            <w:tcW w:w="1043" w:type="dxa"/>
            <w:vAlign w:val="center"/>
          </w:tcPr>
          <w:p w:rsidR="009734A8" w:rsidRPr="00446A00" w:rsidRDefault="009734A8" w:rsidP="009734A8">
            <w:pPr>
              <w:jc w:val="center"/>
              <w:rPr>
                <w:rFonts w:ascii="仿宋" w:eastAsia="仿宋" w:hAnsi="仿宋"/>
                <w:b/>
                <w:color w:val="000000"/>
                <w:sz w:val="24"/>
                <w:szCs w:val="24"/>
              </w:rPr>
            </w:pPr>
            <w:r w:rsidRPr="00446A00">
              <w:rPr>
                <w:rFonts w:ascii="仿宋" w:eastAsia="仿宋" w:hAnsi="仿宋" w:hint="eastAsia"/>
                <w:b/>
                <w:color w:val="000000"/>
                <w:sz w:val="24"/>
                <w:szCs w:val="24"/>
              </w:rPr>
              <w:t>序号</w:t>
            </w:r>
          </w:p>
        </w:tc>
        <w:tc>
          <w:tcPr>
            <w:tcW w:w="2409" w:type="dxa"/>
            <w:shd w:val="clear" w:color="auto" w:fill="auto"/>
            <w:vAlign w:val="center"/>
            <w:hideMark/>
          </w:tcPr>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教学单位</w:t>
            </w:r>
          </w:p>
        </w:tc>
        <w:tc>
          <w:tcPr>
            <w:tcW w:w="933" w:type="dxa"/>
            <w:shd w:val="clear" w:color="auto" w:fill="auto"/>
            <w:vAlign w:val="center"/>
            <w:hideMark/>
          </w:tcPr>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参评门次</w:t>
            </w:r>
          </w:p>
        </w:tc>
        <w:tc>
          <w:tcPr>
            <w:tcW w:w="973" w:type="dxa"/>
            <w:shd w:val="clear" w:color="auto" w:fill="auto"/>
            <w:vAlign w:val="center"/>
            <w:hideMark/>
          </w:tcPr>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前10.0%</w:t>
            </w:r>
          </w:p>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门次数</w:t>
            </w:r>
          </w:p>
        </w:tc>
        <w:tc>
          <w:tcPr>
            <w:tcW w:w="1071" w:type="dxa"/>
            <w:shd w:val="clear" w:color="auto" w:fill="auto"/>
            <w:vAlign w:val="center"/>
            <w:hideMark/>
          </w:tcPr>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前10.0%门次占院系总门次比例</w:t>
            </w:r>
          </w:p>
        </w:tc>
        <w:tc>
          <w:tcPr>
            <w:tcW w:w="906" w:type="dxa"/>
            <w:shd w:val="clear" w:color="auto" w:fill="auto"/>
            <w:vAlign w:val="center"/>
            <w:hideMark/>
          </w:tcPr>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后10.0%</w:t>
            </w:r>
          </w:p>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门次数</w:t>
            </w:r>
          </w:p>
        </w:tc>
        <w:tc>
          <w:tcPr>
            <w:tcW w:w="1077" w:type="dxa"/>
            <w:shd w:val="clear" w:color="auto" w:fill="auto"/>
            <w:vAlign w:val="center"/>
            <w:hideMark/>
          </w:tcPr>
          <w:p w:rsidR="009734A8" w:rsidRPr="00B70E76" w:rsidRDefault="009734A8" w:rsidP="009734A8">
            <w:pPr>
              <w:jc w:val="center"/>
              <w:rPr>
                <w:rFonts w:ascii="仿宋" w:eastAsia="仿宋" w:hAnsi="仿宋"/>
                <w:b/>
                <w:color w:val="000000"/>
                <w:sz w:val="24"/>
                <w:szCs w:val="24"/>
              </w:rPr>
            </w:pPr>
            <w:r w:rsidRPr="00B70E76">
              <w:rPr>
                <w:rFonts w:ascii="仿宋" w:eastAsia="仿宋" w:hAnsi="仿宋" w:hint="eastAsia"/>
                <w:b/>
                <w:color w:val="000000"/>
                <w:sz w:val="24"/>
                <w:szCs w:val="24"/>
              </w:rPr>
              <w:t>后10.0%门次占院系总门次比例</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文学院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63</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11.11%</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11.11%</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历史学院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102</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4.90%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11</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10.78%</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新闻传播学院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231</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14</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6.06%</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22</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9.52%</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经济学院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207</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4.35%</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18</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8.70%</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管理学院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247</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2.02%</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21</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8.50%</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外国语学院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195</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20</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10.26%</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18</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9.23%</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教育学院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75</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4.00%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6.67%</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8</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政法学院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138</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11.59%</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5.07%</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艺术学院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280</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47</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16.79%</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5.71%</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 xml:space="preserve">数学与信息科学学院  </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163</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3.68%</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3.68%</w:t>
            </w:r>
          </w:p>
        </w:tc>
      </w:tr>
      <w:tr w:rsidR="009734A8" w:rsidRPr="00446A00" w:rsidTr="009734A8">
        <w:trPr>
          <w:trHeight w:val="360"/>
          <w:jc w:val="center"/>
        </w:trPr>
        <w:tc>
          <w:tcPr>
            <w:tcW w:w="1043" w:type="dxa"/>
            <w:vAlign w:val="center"/>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11</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网络空间安全与计算机学院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106</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8.49%</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4.72%</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lastRenderedPageBreak/>
              <w:t>12</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 xml:space="preserve">物理科学与技术学院  </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209</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2.87%</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7.66%</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13</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化学与环境科学学院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252</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32</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12.70%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3.57%</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14</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生命科学学院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230</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24</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10.43%</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0.43%</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15</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 xml:space="preserve">电子信息工程学院   </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204</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4.41%</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2.45%</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建筑工程学院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92</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7.61%</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1.09%</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17</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质量技术监督学院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227</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14</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6.17%</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17</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7.49%</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18</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药学院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80</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0.00%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2.50%</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19</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公共卫生学院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129</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7.75%</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13</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10.08%</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20</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护理学院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79</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0.00%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3.80%</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21</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医学院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453</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21</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4.64%</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30</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6.62%</w:t>
            </w:r>
          </w:p>
        </w:tc>
      </w:tr>
      <w:tr w:rsidR="009734A8" w:rsidRPr="00446A00" w:rsidTr="009734A8">
        <w:trPr>
          <w:trHeight w:val="360"/>
          <w:jc w:val="center"/>
        </w:trPr>
        <w:tc>
          <w:tcPr>
            <w:tcW w:w="1043" w:type="dxa"/>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22</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中医学院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68</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4.41%</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0.00%</w:t>
            </w:r>
          </w:p>
        </w:tc>
      </w:tr>
      <w:tr w:rsidR="009734A8" w:rsidRPr="00B70E76" w:rsidTr="009734A8">
        <w:trPr>
          <w:trHeight w:val="510"/>
          <w:jc w:val="center"/>
        </w:trPr>
        <w:tc>
          <w:tcPr>
            <w:tcW w:w="1043" w:type="dxa"/>
            <w:vAlign w:val="center"/>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23</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马克思主义学院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225</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0.44%</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21</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9.33%</w:t>
            </w:r>
          </w:p>
        </w:tc>
      </w:tr>
      <w:tr w:rsidR="009734A8" w:rsidRPr="00B70E76" w:rsidTr="009734A8">
        <w:trPr>
          <w:trHeight w:val="495"/>
          <w:jc w:val="center"/>
        </w:trPr>
        <w:tc>
          <w:tcPr>
            <w:tcW w:w="1043" w:type="dxa"/>
            <w:vAlign w:val="center"/>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24</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公共外语教学部</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278</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21</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7.55%</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16</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5.76%</w:t>
            </w:r>
          </w:p>
        </w:tc>
      </w:tr>
      <w:tr w:rsidR="009734A8" w:rsidRPr="00B70E76" w:rsidTr="009734A8">
        <w:trPr>
          <w:trHeight w:val="360"/>
          <w:jc w:val="center"/>
        </w:trPr>
        <w:tc>
          <w:tcPr>
            <w:tcW w:w="1043" w:type="dxa"/>
            <w:vAlign w:val="center"/>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25</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体育教学部</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491</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33</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6.72%</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21</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4.28%</w:t>
            </w:r>
          </w:p>
        </w:tc>
      </w:tr>
      <w:tr w:rsidR="009734A8" w:rsidRPr="00B70E76" w:rsidTr="009734A8">
        <w:trPr>
          <w:trHeight w:val="570"/>
          <w:jc w:val="center"/>
        </w:trPr>
        <w:tc>
          <w:tcPr>
            <w:tcW w:w="1043" w:type="dxa"/>
            <w:vAlign w:val="center"/>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26</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计算机教学部</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71</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9</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12.68%</w:t>
            </w:r>
          </w:p>
        </w:tc>
      </w:tr>
      <w:tr w:rsidR="009734A8" w:rsidRPr="00B70E76" w:rsidTr="009734A8">
        <w:trPr>
          <w:trHeight w:val="570"/>
          <w:jc w:val="center"/>
        </w:trPr>
        <w:tc>
          <w:tcPr>
            <w:tcW w:w="1043" w:type="dxa"/>
            <w:vAlign w:val="center"/>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27</w:t>
            </w:r>
          </w:p>
        </w:tc>
        <w:tc>
          <w:tcPr>
            <w:tcW w:w="2409"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446A00">
              <w:rPr>
                <w:rFonts w:ascii="仿宋" w:eastAsia="仿宋" w:hAnsi="仿宋" w:hint="eastAsia"/>
                <w:color w:val="000000"/>
                <w:sz w:val="24"/>
                <w:szCs w:val="24"/>
              </w:rPr>
              <w:t>河北大学-中央兰开夏传媒与创意学院</w:t>
            </w:r>
          </w:p>
        </w:tc>
        <w:tc>
          <w:tcPr>
            <w:tcW w:w="93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23</w:t>
            </w:r>
          </w:p>
        </w:tc>
        <w:tc>
          <w:tcPr>
            <w:tcW w:w="973"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1071"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0</w:t>
            </w:r>
          </w:p>
        </w:tc>
        <w:tc>
          <w:tcPr>
            <w:tcW w:w="906"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3</w:t>
            </w:r>
          </w:p>
        </w:tc>
        <w:tc>
          <w:tcPr>
            <w:tcW w:w="1077" w:type="dxa"/>
            <w:shd w:val="clear" w:color="auto" w:fill="auto"/>
            <w:vAlign w:val="center"/>
            <w:hideMark/>
          </w:tcPr>
          <w:p w:rsidR="009734A8" w:rsidRPr="00B70E76" w:rsidRDefault="009734A8" w:rsidP="009734A8">
            <w:pPr>
              <w:jc w:val="center"/>
              <w:rPr>
                <w:rFonts w:ascii="仿宋" w:eastAsia="仿宋" w:hAnsi="仿宋"/>
                <w:color w:val="000000"/>
                <w:sz w:val="24"/>
                <w:szCs w:val="24"/>
              </w:rPr>
            </w:pPr>
            <w:r w:rsidRPr="00B70E76">
              <w:rPr>
                <w:rFonts w:ascii="仿宋" w:eastAsia="仿宋" w:hAnsi="仿宋" w:hint="eastAsia"/>
                <w:color w:val="000000"/>
                <w:sz w:val="24"/>
                <w:szCs w:val="24"/>
              </w:rPr>
              <w:t>13.04%</w:t>
            </w:r>
          </w:p>
        </w:tc>
      </w:tr>
    </w:tbl>
    <w:p w:rsidR="009734A8" w:rsidRPr="008D5830" w:rsidRDefault="009734A8" w:rsidP="009734A8">
      <w:pPr>
        <w:jc w:val="center"/>
        <w:rPr>
          <w:rFonts w:ascii="仿宋" w:eastAsia="仿宋" w:hAnsi="仿宋"/>
          <w:color w:val="000000" w:themeColor="text1"/>
          <w:sz w:val="24"/>
          <w:szCs w:val="24"/>
        </w:rPr>
      </w:pP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三、学生评教反馈与持续改进</w:t>
      </w:r>
      <w:r w:rsidRPr="009734A8">
        <w:rPr>
          <w:rFonts w:ascii="仿宋" w:eastAsia="仿宋" w:hAnsi="仿宋" w:cs="宋体"/>
          <w:bCs/>
          <w:color w:val="333333"/>
          <w:kern w:val="0"/>
          <w:sz w:val="24"/>
          <w:szCs w:val="24"/>
        </w:rPr>
        <w:tab/>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（一）上学期学生评教追踪与改进</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经过校院两级的帮扶和教师反思与改进，上学期评教成绩较低（85分及以下）的17名教师中，多数教师本学期学生评教反映良好，2名教师本学期评教成绩仍较低。</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（二）本学期问题反馈</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评教结束后，评估中心将评教成绩及时反馈到了各教学单位。在全面反馈基础上，评估中心将评教成绩低于85分的教师具体情况反馈给了所在单位，本学期共涉及历史学院、新闻学院、管理学院、艺术学院、数信学院、物理学院、质监学院、公共卫生学院、马克思主义学院、公共外语教学部和兰开夏共11个教学单位的22名教师，涉及课程31门、33门次，其中个别教师多门课程、多个课堂评教成绩偏低，极个别教师评教成绩较低现象多学期出现。</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汇总成绩较低教师的主观评价内容，学生主要反映了以下问题：</w:t>
      </w:r>
      <w:r w:rsidRPr="009734A8">
        <w:rPr>
          <w:rFonts w:ascii="仿宋" w:eastAsia="仿宋" w:hAnsi="仿宋" w:cs="宋体"/>
          <w:bCs/>
          <w:color w:val="333333"/>
          <w:kern w:val="0"/>
          <w:sz w:val="24"/>
          <w:szCs w:val="24"/>
        </w:rPr>
        <w:t xml:space="preserve"> </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1.教学内容方面：备课不充分，讲课内容重点不突出，不注重知识细节；授课内容知识点模糊，缺乏条理性；个别教师上课一直念PPT和课本，课外知识拓展少；个别教</w:t>
      </w:r>
      <w:r w:rsidRPr="009734A8">
        <w:rPr>
          <w:rFonts w:ascii="仿宋" w:eastAsia="仿宋" w:hAnsi="仿宋" w:cs="宋体" w:hint="eastAsia"/>
          <w:bCs/>
          <w:color w:val="333333"/>
          <w:kern w:val="0"/>
          <w:sz w:val="24"/>
          <w:szCs w:val="24"/>
        </w:rPr>
        <w:lastRenderedPageBreak/>
        <w:t>师上课讲授专业知识过少，每节课都让学生讲，自己讲课和点评较少。</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 xml:space="preserve"> 2.教学水平方面：不能自如运用各种教学方法及手段，教学过程缺乏互动，课堂气氛沉闷；个别教师上课没有规划性，上课时间分配比较混乱；个别教师普通话不标准或声音过小，学生听不清楚，影响学生对知识点的理解和听课效果。</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3.教学态度方面：极个别教师上课言语不文明，对学生产生了较大心理压力；个别教师经常出差，前六周缺勤后期狂补，教学不连续，严重影响学生课程吸收。</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4.教学效果方面：个别教师讲课进度过快，由于课程难度较大学生学习有些吃力;个别教师上课提问多，耽误授课时间，而且答疑少，讲解例题只说思路，缺少分析，学生掌握较困难。</w:t>
      </w: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（三）持续改进建议</w:t>
      </w:r>
    </w:p>
    <w:p w:rsidR="009734A8" w:rsidRDefault="009734A8" w:rsidP="009734A8">
      <w:pPr>
        <w:snapToGrid w:val="0"/>
        <w:spacing w:line="360" w:lineRule="auto"/>
        <w:ind w:firstLineChars="200" w:firstLine="480"/>
        <w:rPr>
          <w:rFonts w:ascii="仿宋" w:eastAsia="仿宋" w:hAnsi="仿宋" w:cs="宋体"/>
          <w:bCs/>
          <w:color w:val="333333"/>
          <w:kern w:val="0"/>
          <w:sz w:val="24"/>
          <w:szCs w:val="24"/>
        </w:rPr>
      </w:pPr>
      <w:r w:rsidRPr="009734A8">
        <w:rPr>
          <w:rFonts w:ascii="仿宋" w:eastAsia="仿宋" w:hAnsi="仿宋" w:cs="宋体" w:hint="eastAsia"/>
          <w:bCs/>
          <w:color w:val="333333"/>
          <w:kern w:val="0"/>
          <w:sz w:val="24"/>
          <w:szCs w:val="24"/>
        </w:rPr>
        <w:t>下学期，学校将继续组织督学对评教成绩较低教师、学生反映问题突出的重点教师和多学期评教成绩较低教师，进行持续跟踪听课。建议各相关教学单位将学生意见建议及时反馈给任课教师，尤其针对问题比较突出的教师，要对其存在的问题进行调查落实和帮扶整改，制定改进对策，加大对这部分教师的听课力度，督促教师端正教学态度，提升教学水平。</w:t>
      </w:r>
    </w:p>
    <w:p w:rsidR="009C46FD" w:rsidRPr="009734A8" w:rsidRDefault="009C46FD" w:rsidP="009734A8">
      <w:pPr>
        <w:snapToGrid w:val="0"/>
        <w:spacing w:line="360" w:lineRule="auto"/>
        <w:ind w:firstLineChars="200" w:firstLine="480"/>
        <w:rPr>
          <w:rFonts w:ascii="仿宋" w:eastAsia="仿宋" w:hAnsi="仿宋" w:cs="宋体"/>
          <w:bCs/>
          <w:color w:val="333333"/>
          <w:kern w:val="0"/>
          <w:sz w:val="24"/>
          <w:szCs w:val="24"/>
        </w:rPr>
      </w:pPr>
    </w:p>
    <w:p w:rsidR="009C46FD" w:rsidRPr="009C46FD" w:rsidRDefault="009C46FD" w:rsidP="009C46FD">
      <w:pPr>
        <w:snapToGrid w:val="0"/>
        <w:spacing w:line="360" w:lineRule="auto"/>
        <w:jc w:val="center"/>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C46FD">
        <w:rPr>
          <w:rFonts w:ascii="仿宋" w:eastAsia="仿宋" w:hAnsi="仿宋" w:hint="eastAsia"/>
          <w:b/>
          <w:bCs/>
          <w:color w:val="333333"/>
          <w:sz w:val="24"/>
          <w:szCs w:val="24"/>
        </w:rPr>
        <w:t>河北大学2018-2019学年春学期教师课程教学质量自我评价分析报告</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为进一步确立教师在教学评价中的主体地位，科学评价教师教学，提高教师教学质量， 2019年6月5日～6月23日，教育教学质量评估中心组织开展了2018-2019学年春学期教师课程教学质量自我评价，现将评价情况分析如下：</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bookmarkStart w:id="0" w:name="_Toc456083902"/>
      <w:r w:rsidRPr="009C46FD">
        <w:rPr>
          <w:rFonts w:ascii="仿宋" w:eastAsia="仿宋" w:hAnsi="仿宋" w:cs="宋体" w:hint="eastAsia"/>
          <w:bCs/>
          <w:color w:val="333333"/>
          <w:kern w:val="0"/>
          <w:sz w:val="24"/>
          <w:szCs w:val="24"/>
        </w:rPr>
        <w:t>一、教师自我评价实施情况</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（一）评价范围</w:t>
      </w:r>
      <w:bookmarkEnd w:id="0"/>
    </w:p>
    <w:p w:rsidR="009C46FD" w:rsidRPr="009C46FD" w:rsidRDefault="009C46FD" w:rsidP="009C46FD">
      <w:pPr>
        <w:widowControl/>
        <w:snapToGrid w:val="0"/>
        <w:spacing w:line="360" w:lineRule="auto"/>
        <w:ind w:firstLineChars="150" w:firstLine="360"/>
        <w:jc w:val="left"/>
        <w:rPr>
          <w:rFonts w:ascii="仿宋" w:eastAsia="仿宋" w:hAnsi="仿宋" w:cs="宋体"/>
          <w:bCs/>
          <w:color w:val="333333"/>
          <w:kern w:val="0"/>
          <w:sz w:val="24"/>
          <w:szCs w:val="24"/>
        </w:rPr>
      </w:pPr>
      <w:bookmarkStart w:id="1" w:name="_Toc456083903"/>
      <w:r w:rsidRPr="009C46FD">
        <w:rPr>
          <w:rFonts w:ascii="仿宋" w:eastAsia="仿宋" w:hAnsi="仿宋" w:cs="宋体" w:hint="eastAsia"/>
          <w:bCs/>
          <w:color w:val="333333"/>
          <w:kern w:val="0"/>
          <w:sz w:val="24"/>
          <w:szCs w:val="24"/>
        </w:rPr>
        <w:t>参评教师为本学期为本科生讲授理论课程、实验课程和实践课程的教师，不含双学位和辅修授课教师。</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（二）</w:t>
      </w:r>
      <w:bookmarkEnd w:id="1"/>
      <w:r w:rsidRPr="009C46FD">
        <w:rPr>
          <w:rFonts w:ascii="仿宋" w:eastAsia="仿宋" w:hAnsi="仿宋" w:cs="宋体" w:hint="eastAsia"/>
          <w:bCs/>
          <w:color w:val="333333"/>
          <w:kern w:val="0"/>
          <w:sz w:val="24"/>
          <w:szCs w:val="24"/>
        </w:rPr>
        <w:t>评价原则</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自我评价坚持立德树人、德育为先原则，坚持学生中心、全面发展原则，坚持问题导向、持续改进原则。</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（三）评价内容和形式</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自我评价内容以教育部和学校相关文件为制定依据，主要包括师德师风、课前准备、</w:t>
      </w:r>
      <w:r w:rsidRPr="009C46FD">
        <w:rPr>
          <w:rFonts w:ascii="仿宋" w:eastAsia="仿宋" w:hAnsi="仿宋" w:cs="宋体" w:hint="eastAsia"/>
          <w:bCs/>
          <w:color w:val="333333"/>
          <w:kern w:val="0"/>
          <w:sz w:val="24"/>
          <w:szCs w:val="24"/>
        </w:rPr>
        <w:lastRenderedPageBreak/>
        <w:t>教学过程和持续改进等四个方面。</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任课教师采用电脑评价或微信评价两种形式开展自我评价。</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（四）评价分值与等级</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评价分值满分100分，共四项内容，每项均为25分。</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评价等级设为四档：优秀（90-100分）、良好（75-89分）、合格（60-74分）、不合格（60分以下）。</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二、教师自我评价整体情况</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本学期，全校共有684名教师参加了自我评价，参评教师比例为35.92%。从评教结果看，参评教师成绩最高分为100分，最低分为69分，全校平均分为95.79分，其中，自我评价为优秀621人，占比90.79%；良好62人，占比9.06%；合格1人，占比0.15%；不合格0人。</w:t>
      </w:r>
    </w:p>
    <w:p w:rsidR="009C46FD" w:rsidRPr="00E21E54" w:rsidRDefault="009C46FD" w:rsidP="009C46FD">
      <w:pPr>
        <w:snapToGrid w:val="0"/>
        <w:spacing w:line="360" w:lineRule="auto"/>
        <w:ind w:firstLineChars="200" w:firstLine="600"/>
        <w:rPr>
          <w:rFonts w:ascii="仿宋" w:eastAsia="仿宋" w:hAnsi="仿宋"/>
          <w:sz w:val="30"/>
          <w:szCs w:val="30"/>
        </w:rPr>
      </w:pPr>
    </w:p>
    <w:p w:rsidR="009C46FD" w:rsidRPr="00511764" w:rsidRDefault="009C46FD" w:rsidP="009C46FD">
      <w:pPr>
        <w:snapToGrid w:val="0"/>
        <w:ind w:firstLineChars="200" w:firstLine="602"/>
        <w:jc w:val="center"/>
        <w:rPr>
          <w:rFonts w:ascii="仿宋" w:eastAsia="仿宋" w:hAnsi="仿宋"/>
          <w:b/>
          <w:sz w:val="30"/>
          <w:szCs w:val="30"/>
        </w:rPr>
      </w:pPr>
      <w:r w:rsidRPr="006B542D">
        <w:rPr>
          <w:rFonts w:ascii="仿宋" w:eastAsia="仿宋" w:hAnsi="仿宋" w:hint="eastAsia"/>
          <w:b/>
          <w:sz w:val="30"/>
          <w:szCs w:val="30"/>
        </w:rPr>
        <w:t>表1 各教学单位</w:t>
      </w:r>
      <w:r>
        <w:rPr>
          <w:rFonts w:ascii="仿宋" w:eastAsia="仿宋" w:hAnsi="仿宋" w:hint="eastAsia"/>
          <w:b/>
          <w:sz w:val="30"/>
          <w:szCs w:val="30"/>
        </w:rPr>
        <w:t>教师参评情况一览表</w:t>
      </w:r>
    </w:p>
    <w:p w:rsidR="009C46FD" w:rsidRPr="00511764" w:rsidRDefault="009C46FD" w:rsidP="009C46FD">
      <w:pPr>
        <w:widowControl/>
        <w:spacing w:line="285" w:lineRule="atLeast"/>
        <w:jc w:val="center"/>
        <w:rPr>
          <w:rFonts w:asciiTheme="minorEastAsia" w:hAnsiTheme="minorEastAsia"/>
          <w:b/>
          <w:sz w:val="24"/>
          <w:szCs w:val="24"/>
        </w:rPr>
      </w:pPr>
    </w:p>
    <w:tbl>
      <w:tblPr>
        <w:tblW w:w="8520" w:type="dxa"/>
        <w:tblInd w:w="93" w:type="dxa"/>
        <w:tblLook w:val="04A0"/>
      </w:tblPr>
      <w:tblGrid>
        <w:gridCol w:w="880"/>
        <w:gridCol w:w="3104"/>
        <w:gridCol w:w="1560"/>
        <w:gridCol w:w="1559"/>
        <w:gridCol w:w="1417"/>
      </w:tblGrid>
      <w:tr w:rsidR="009C46FD" w:rsidRPr="00EE3C50" w:rsidTr="00E70E38">
        <w:trPr>
          <w:trHeight w:hRule="exact" w:val="51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6FD" w:rsidRPr="00190E28" w:rsidRDefault="009C46FD" w:rsidP="00E70E38">
            <w:pPr>
              <w:widowControl/>
              <w:spacing w:line="280" w:lineRule="exact"/>
              <w:jc w:val="center"/>
              <w:rPr>
                <w:rFonts w:ascii="仿宋" w:eastAsia="仿宋" w:hAnsi="仿宋"/>
                <w:b/>
                <w:sz w:val="24"/>
                <w:szCs w:val="24"/>
              </w:rPr>
            </w:pPr>
            <w:r w:rsidRPr="00190E28">
              <w:rPr>
                <w:rFonts w:ascii="仿宋" w:eastAsia="仿宋" w:hAnsi="仿宋" w:hint="eastAsia"/>
                <w:b/>
                <w:sz w:val="24"/>
                <w:szCs w:val="24"/>
              </w:rPr>
              <w:t>序号</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9C46FD" w:rsidRPr="00190E28" w:rsidRDefault="009C46FD" w:rsidP="00E70E38">
            <w:pPr>
              <w:widowControl/>
              <w:spacing w:line="280" w:lineRule="exact"/>
              <w:jc w:val="center"/>
              <w:rPr>
                <w:rFonts w:ascii="仿宋" w:eastAsia="仿宋" w:hAnsi="仿宋"/>
                <w:b/>
                <w:sz w:val="24"/>
                <w:szCs w:val="24"/>
              </w:rPr>
            </w:pPr>
            <w:r w:rsidRPr="00190E28">
              <w:rPr>
                <w:rFonts w:ascii="仿宋" w:eastAsia="仿宋" w:hAnsi="仿宋" w:hint="eastAsia"/>
                <w:b/>
                <w:sz w:val="24"/>
                <w:szCs w:val="24"/>
              </w:rPr>
              <w:t>学院（部）名称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C46FD" w:rsidRPr="00190E28" w:rsidRDefault="009C46FD" w:rsidP="00E70E38">
            <w:pPr>
              <w:widowControl/>
              <w:spacing w:line="280" w:lineRule="exact"/>
              <w:jc w:val="center"/>
              <w:rPr>
                <w:rFonts w:ascii="仿宋" w:eastAsia="仿宋" w:hAnsi="仿宋"/>
                <w:b/>
                <w:sz w:val="24"/>
                <w:szCs w:val="24"/>
              </w:rPr>
            </w:pPr>
            <w:r w:rsidRPr="00190E28">
              <w:rPr>
                <w:rFonts w:ascii="仿宋" w:eastAsia="仿宋" w:hAnsi="仿宋" w:hint="eastAsia"/>
                <w:b/>
                <w:sz w:val="24"/>
                <w:szCs w:val="24"/>
              </w:rPr>
              <w:t>参评教师数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46FD" w:rsidRPr="00190E28" w:rsidRDefault="009C46FD" w:rsidP="00E70E38">
            <w:pPr>
              <w:widowControl/>
              <w:spacing w:line="280" w:lineRule="exact"/>
              <w:jc w:val="center"/>
              <w:rPr>
                <w:rFonts w:ascii="仿宋" w:eastAsia="仿宋" w:hAnsi="仿宋"/>
                <w:b/>
                <w:sz w:val="24"/>
                <w:szCs w:val="24"/>
              </w:rPr>
            </w:pPr>
            <w:r w:rsidRPr="00190E28">
              <w:rPr>
                <w:rFonts w:ascii="仿宋" w:eastAsia="仿宋" w:hAnsi="仿宋" w:hint="eastAsia"/>
                <w:b/>
                <w:sz w:val="24"/>
                <w:szCs w:val="24"/>
              </w:rPr>
              <w:t>授课教师数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46FD" w:rsidRPr="00846D1F" w:rsidRDefault="009C46FD" w:rsidP="00E70E38">
            <w:pPr>
              <w:widowControl/>
              <w:spacing w:line="280" w:lineRule="exact"/>
              <w:jc w:val="center"/>
              <w:rPr>
                <w:rFonts w:ascii="仿宋" w:eastAsia="仿宋" w:hAnsi="仿宋"/>
                <w:b/>
                <w:sz w:val="24"/>
                <w:szCs w:val="24"/>
              </w:rPr>
            </w:pPr>
            <w:r w:rsidRPr="00846D1F">
              <w:rPr>
                <w:rFonts w:ascii="仿宋" w:eastAsia="仿宋" w:hAnsi="仿宋" w:hint="eastAsia"/>
                <w:b/>
                <w:sz w:val="24"/>
                <w:szCs w:val="24"/>
              </w:rPr>
              <w:t>参评比例</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文学院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13</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53</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24.53%</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历史学院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34</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44.12%</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3</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新闻传播学院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85</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16.47%</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4</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经济学院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30</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96</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31.25%</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5</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管理学院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19</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117</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16.24%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6</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外国语学院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44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95</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46.32%</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7</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教育学院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24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41</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58.54%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8</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政法学院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29</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81</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35.80%</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9</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艺术学院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17</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110</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15.45%</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10</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数学与信息科学学院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40</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74</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54.05%</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11</w:t>
            </w:r>
          </w:p>
        </w:tc>
        <w:tc>
          <w:tcPr>
            <w:tcW w:w="3104" w:type="dxa"/>
            <w:tcBorders>
              <w:top w:val="nil"/>
              <w:left w:val="nil"/>
              <w:bottom w:val="single" w:sz="4" w:space="0" w:color="auto"/>
              <w:right w:val="single" w:sz="4" w:space="0" w:color="auto"/>
            </w:tcBorders>
            <w:shd w:val="clear" w:color="auto" w:fill="auto"/>
            <w:vAlign w:val="center"/>
            <w:hideMark/>
          </w:tcPr>
          <w:p w:rsidR="009C46FD" w:rsidRPr="006B542D" w:rsidRDefault="009C46FD" w:rsidP="00E70E38">
            <w:pPr>
              <w:spacing w:line="320" w:lineRule="exact"/>
              <w:jc w:val="center"/>
              <w:rPr>
                <w:rFonts w:ascii="仿宋" w:eastAsia="仿宋" w:hAnsi="仿宋" w:cs="Calibri"/>
                <w:color w:val="000000"/>
                <w:sz w:val="22"/>
              </w:rPr>
            </w:pPr>
            <w:r w:rsidRPr="006B542D">
              <w:rPr>
                <w:rFonts w:ascii="仿宋" w:eastAsia="仿宋" w:hAnsi="仿宋" w:cs="Calibri" w:hint="eastAsia"/>
                <w:color w:val="000000"/>
                <w:sz w:val="22"/>
              </w:rPr>
              <w:t>网络空间安全与计算机学院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27</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41</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65.85%</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12</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物理科学与技术学院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34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79</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43.04%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13</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化学与环境科学学院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39</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130</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30.00%</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lastRenderedPageBreak/>
              <w:t>14</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生命科学学院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91</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16.48%</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15</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电子信息工程学院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39</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76</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51.32%</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16</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建筑工程学院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33</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75</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44.00%</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17</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质量技术监督学院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44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75</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58.67%</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18</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药学院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37</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37.84%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19</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公共卫生学院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16</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40</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40.00%</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20</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护理学院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22</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63.64%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21</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医学院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44</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108</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40.74%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22</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中医学院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44</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34.09%</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23</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马克思主义学院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3</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53</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5.66%</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24</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公共外语教学部</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58</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85</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68.24%</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25</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体育教学部</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16</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64</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25.00%</w:t>
            </w:r>
          </w:p>
        </w:tc>
      </w:tr>
      <w:tr w:rsidR="009C46FD" w:rsidRPr="00EE3C50" w:rsidTr="00E70E38">
        <w:trPr>
          <w:trHeight w:hRule="exac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26</w:t>
            </w:r>
          </w:p>
        </w:tc>
        <w:tc>
          <w:tcPr>
            <w:tcW w:w="3104"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计算机教学部</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16</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26</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61.54%</w:t>
            </w:r>
          </w:p>
        </w:tc>
      </w:tr>
      <w:tr w:rsidR="009C46FD" w:rsidRPr="00EE3C50" w:rsidTr="00E70E38">
        <w:trPr>
          <w:trHeight w:hRule="exact" w:val="691"/>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9C46FD" w:rsidRPr="00EE3C50" w:rsidRDefault="009C46FD" w:rsidP="00E70E38">
            <w:pPr>
              <w:widowControl/>
              <w:spacing w:line="285" w:lineRule="atLeast"/>
              <w:jc w:val="center"/>
              <w:rPr>
                <w:rFonts w:ascii="仿宋" w:eastAsia="仿宋" w:hAnsi="仿宋"/>
                <w:color w:val="000000" w:themeColor="text1"/>
                <w:sz w:val="24"/>
                <w:szCs w:val="24"/>
              </w:rPr>
            </w:pPr>
            <w:r w:rsidRPr="00EE3C50">
              <w:rPr>
                <w:rFonts w:ascii="仿宋" w:eastAsia="仿宋" w:hAnsi="仿宋" w:hint="eastAsia"/>
                <w:color w:val="000000" w:themeColor="text1"/>
                <w:sz w:val="24"/>
                <w:szCs w:val="24"/>
              </w:rPr>
              <w:t>27</w:t>
            </w:r>
          </w:p>
        </w:tc>
        <w:tc>
          <w:tcPr>
            <w:tcW w:w="3104" w:type="dxa"/>
            <w:tcBorders>
              <w:top w:val="nil"/>
              <w:left w:val="nil"/>
              <w:bottom w:val="single" w:sz="4" w:space="0" w:color="auto"/>
              <w:right w:val="single" w:sz="4" w:space="0" w:color="auto"/>
            </w:tcBorders>
            <w:shd w:val="clear" w:color="auto" w:fill="auto"/>
            <w:vAlign w:val="center"/>
            <w:hideMark/>
          </w:tcPr>
          <w:p w:rsidR="009C46FD" w:rsidRPr="006B542D" w:rsidRDefault="009C46FD" w:rsidP="00E70E38">
            <w:pPr>
              <w:jc w:val="center"/>
              <w:rPr>
                <w:rFonts w:ascii="仿宋" w:eastAsia="仿宋" w:hAnsi="仿宋" w:cs="Calibri"/>
                <w:sz w:val="22"/>
              </w:rPr>
            </w:pPr>
            <w:r w:rsidRPr="006B542D">
              <w:rPr>
                <w:rFonts w:ascii="仿宋" w:eastAsia="仿宋" w:hAnsi="仿宋" w:cs="Calibri"/>
                <w:color w:val="000000"/>
                <w:sz w:val="22"/>
              </w:rPr>
              <w:t>河北大学—中央兰开夏传媒与创意学院</w:t>
            </w:r>
          </w:p>
        </w:tc>
        <w:tc>
          <w:tcPr>
            <w:tcW w:w="1560"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0</w:t>
            </w:r>
          </w:p>
        </w:tc>
        <w:tc>
          <w:tcPr>
            <w:tcW w:w="1559"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7</w:t>
            </w:r>
          </w:p>
        </w:tc>
        <w:tc>
          <w:tcPr>
            <w:tcW w:w="1417" w:type="dxa"/>
            <w:tcBorders>
              <w:top w:val="nil"/>
              <w:left w:val="nil"/>
              <w:bottom w:val="single" w:sz="4" w:space="0" w:color="auto"/>
              <w:right w:val="single" w:sz="4" w:space="0" w:color="auto"/>
            </w:tcBorders>
            <w:shd w:val="clear" w:color="auto" w:fill="auto"/>
            <w:vAlign w:val="center"/>
            <w:hideMark/>
          </w:tcPr>
          <w:p w:rsidR="009C46FD" w:rsidRDefault="009C46FD" w:rsidP="00E70E38">
            <w:pPr>
              <w:jc w:val="center"/>
              <w:rPr>
                <w:rFonts w:ascii="仿宋" w:eastAsia="仿宋" w:hAnsi="仿宋" w:cs="Calibri"/>
                <w:sz w:val="26"/>
                <w:szCs w:val="26"/>
              </w:rPr>
            </w:pPr>
            <w:r>
              <w:rPr>
                <w:rFonts w:ascii="仿宋" w:eastAsia="仿宋" w:hAnsi="仿宋" w:cs="Calibri" w:hint="eastAsia"/>
                <w:sz w:val="26"/>
                <w:szCs w:val="26"/>
              </w:rPr>
              <w:t>0.00%</w:t>
            </w:r>
          </w:p>
        </w:tc>
      </w:tr>
    </w:tbl>
    <w:p w:rsidR="009C46FD" w:rsidRDefault="009C46FD" w:rsidP="009C46FD">
      <w:pPr>
        <w:widowControl/>
        <w:spacing w:line="285" w:lineRule="atLeast"/>
        <w:jc w:val="center"/>
        <w:rPr>
          <w:rFonts w:ascii="仿宋" w:eastAsia="仿宋" w:hAnsi="仿宋"/>
          <w:color w:val="000000" w:themeColor="text1"/>
          <w:sz w:val="24"/>
          <w:szCs w:val="24"/>
        </w:rPr>
      </w:pPr>
    </w:p>
    <w:p w:rsidR="009C46FD" w:rsidRDefault="009C46FD" w:rsidP="009C46FD">
      <w:pPr>
        <w:widowControl/>
        <w:spacing w:line="285" w:lineRule="atLeast"/>
        <w:jc w:val="center"/>
        <w:rPr>
          <w:rFonts w:ascii="仿宋" w:eastAsia="仿宋" w:hAnsi="仿宋"/>
          <w:color w:val="000000" w:themeColor="text1"/>
          <w:sz w:val="24"/>
          <w:szCs w:val="24"/>
        </w:rPr>
      </w:pPr>
    </w:p>
    <w:p w:rsidR="009C46FD" w:rsidRPr="003F1745" w:rsidRDefault="009C46FD" w:rsidP="009C46FD">
      <w:pPr>
        <w:snapToGrid w:val="0"/>
        <w:ind w:firstLineChars="200" w:firstLine="602"/>
        <w:jc w:val="center"/>
        <w:rPr>
          <w:rFonts w:ascii="仿宋" w:eastAsia="仿宋" w:hAnsi="仿宋"/>
          <w:b/>
          <w:sz w:val="30"/>
          <w:szCs w:val="30"/>
        </w:rPr>
      </w:pPr>
      <w:r w:rsidRPr="003F1745">
        <w:rPr>
          <w:rFonts w:ascii="仿宋" w:eastAsia="仿宋" w:hAnsi="仿宋" w:hint="eastAsia"/>
          <w:b/>
          <w:sz w:val="30"/>
          <w:szCs w:val="30"/>
        </w:rPr>
        <w:t>表2</w:t>
      </w:r>
      <w:r>
        <w:rPr>
          <w:rFonts w:ascii="仿宋" w:eastAsia="仿宋" w:hAnsi="仿宋" w:hint="eastAsia"/>
          <w:b/>
          <w:sz w:val="30"/>
          <w:szCs w:val="30"/>
        </w:rPr>
        <w:t xml:space="preserve"> </w:t>
      </w:r>
      <w:r w:rsidRPr="003F1745">
        <w:rPr>
          <w:rFonts w:ascii="仿宋" w:eastAsia="仿宋" w:hAnsi="仿宋" w:hint="eastAsia"/>
          <w:b/>
          <w:sz w:val="30"/>
          <w:szCs w:val="30"/>
        </w:rPr>
        <w:t>评价分值</w:t>
      </w:r>
      <w:r>
        <w:rPr>
          <w:rFonts w:ascii="仿宋" w:eastAsia="仿宋" w:hAnsi="仿宋" w:hint="eastAsia"/>
          <w:b/>
          <w:sz w:val="30"/>
          <w:szCs w:val="30"/>
        </w:rPr>
        <w:t>情况</w:t>
      </w:r>
      <w:r w:rsidRPr="003F1745">
        <w:rPr>
          <w:rFonts w:ascii="仿宋" w:eastAsia="仿宋" w:hAnsi="仿宋" w:hint="eastAsia"/>
          <w:b/>
          <w:sz w:val="30"/>
          <w:szCs w:val="30"/>
        </w:rPr>
        <w:t>一览表</w:t>
      </w:r>
    </w:p>
    <w:p w:rsidR="009C46FD" w:rsidRPr="00286675" w:rsidRDefault="009C46FD" w:rsidP="009C46FD">
      <w:pPr>
        <w:widowControl/>
        <w:spacing w:line="285" w:lineRule="atLeast"/>
        <w:jc w:val="center"/>
        <w:rPr>
          <w:rFonts w:asciiTheme="minorEastAsia" w:hAnsiTheme="minorEastAsia"/>
          <w:b/>
          <w:sz w:val="24"/>
          <w:szCs w:val="24"/>
        </w:rPr>
      </w:pPr>
    </w:p>
    <w:tbl>
      <w:tblPr>
        <w:tblStyle w:val="a9"/>
        <w:tblW w:w="8522" w:type="dxa"/>
        <w:tblLook w:val="04A0"/>
      </w:tblPr>
      <w:tblGrid>
        <w:gridCol w:w="2053"/>
        <w:gridCol w:w="1747"/>
        <w:gridCol w:w="2485"/>
        <w:gridCol w:w="2237"/>
      </w:tblGrid>
      <w:tr w:rsidR="009C46FD" w:rsidRPr="002F4097" w:rsidTr="00E70E38">
        <w:trPr>
          <w:trHeight w:hRule="exact" w:val="510"/>
        </w:trPr>
        <w:tc>
          <w:tcPr>
            <w:tcW w:w="2053" w:type="dxa"/>
            <w:vAlign w:val="center"/>
          </w:tcPr>
          <w:p w:rsidR="009C46FD" w:rsidRPr="002F4097" w:rsidRDefault="009C46FD" w:rsidP="00E70E38">
            <w:pPr>
              <w:jc w:val="center"/>
              <w:rPr>
                <w:rFonts w:ascii="仿宋" w:eastAsia="仿宋" w:hAnsi="仿宋" w:cs="Calibri"/>
                <w:b/>
                <w:color w:val="000000"/>
                <w:sz w:val="26"/>
                <w:szCs w:val="26"/>
              </w:rPr>
            </w:pPr>
            <w:r w:rsidRPr="002F4097">
              <w:rPr>
                <w:rFonts w:ascii="仿宋" w:eastAsia="仿宋" w:hAnsi="仿宋" w:cs="Calibri" w:hint="eastAsia"/>
                <w:b/>
                <w:color w:val="000000"/>
                <w:sz w:val="26"/>
                <w:szCs w:val="26"/>
              </w:rPr>
              <w:t>评价分值</w:t>
            </w:r>
          </w:p>
        </w:tc>
        <w:tc>
          <w:tcPr>
            <w:tcW w:w="1747" w:type="dxa"/>
            <w:vAlign w:val="center"/>
          </w:tcPr>
          <w:p w:rsidR="009C46FD" w:rsidRPr="002F4097" w:rsidRDefault="009C46FD" w:rsidP="00E70E38">
            <w:pPr>
              <w:jc w:val="center"/>
              <w:rPr>
                <w:rFonts w:ascii="仿宋" w:eastAsia="仿宋" w:hAnsi="仿宋" w:cs="Calibri"/>
                <w:b/>
                <w:color w:val="000000"/>
                <w:sz w:val="26"/>
                <w:szCs w:val="26"/>
              </w:rPr>
            </w:pPr>
            <w:r>
              <w:rPr>
                <w:rFonts w:ascii="仿宋" w:eastAsia="仿宋" w:hAnsi="仿宋" w:cs="Calibri" w:hint="eastAsia"/>
                <w:b/>
                <w:color w:val="000000"/>
                <w:sz w:val="26"/>
                <w:szCs w:val="26"/>
              </w:rPr>
              <w:t>教师</w:t>
            </w:r>
            <w:r w:rsidRPr="002F4097">
              <w:rPr>
                <w:rFonts w:ascii="仿宋" w:eastAsia="仿宋" w:hAnsi="仿宋" w:cs="Calibri" w:hint="eastAsia"/>
                <w:b/>
                <w:color w:val="000000"/>
                <w:sz w:val="26"/>
                <w:szCs w:val="26"/>
              </w:rPr>
              <w:t>人数</w:t>
            </w:r>
          </w:p>
        </w:tc>
        <w:tc>
          <w:tcPr>
            <w:tcW w:w="2485" w:type="dxa"/>
            <w:vAlign w:val="center"/>
          </w:tcPr>
          <w:p w:rsidR="009C46FD" w:rsidRPr="002F4097" w:rsidRDefault="009C46FD" w:rsidP="00E70E38">
            <w:pPr>
              <w:jc w:val="center"/>
              <w:rPr>
                <w:rFonts w:ascii="仿宋" w:eastAsia="仿宋" w:hAnsi="仿宋" w:cs="Calibri"/>
                <w:b/>
                <w:color w:val="000000"/>
                <w:sz w:val="26"/>
                <w:szCs w:val="26"/>
              </w:rPr>
            </w:pPr>
            <w:r w:rsidRPr="002F4097">
              <w:rPr>
                <w:rFonts w:ascii="仿宋" w:eastAsia="仿宋" w:hAnsi="仿宋" w:cs="Calibri" w:hint="eastAsia"/>
                <w:b/>
                <w:color w:val="000000"/>
                <w:sz w:val="26"/>
                <w:szCs w:val="26"/>
              </w:rPr>
              <w:t>比例</w:t>
            </w:r>
          </w:p>
        </w:tc>
        <w:tc>
          <w:tcPr>
            <w:tcW w:w="2237" w:type="dxa"/>
            <w:vAlign w:val="center"/>
          </w:tcPr>
          <w:p w:rsidR="009C46FD" w:rsidRPr="002F4097" w:rsidRDefault="009C46FD" w:rsidP="00E70E38">
            <w:pPr>
              <w:jc w:val="center"/>
              <w:rPr>
                <w:rFonts w:ascii="仿宋" w:eastAsia="仿宋" w:hAnsi="仿宋" w:cs="Calibri"/>
                <w:b/>
                <w:color w:val="000000"/>
                <w:sz w:val="26"/>
                <w:szCs w:val="26"/>
              </w:rPr>
            </w:pPr>
            <w:r w:rsidRPr="002F4097">
              <w:rPr>
                <w:rFonts w:ascii="仿宋" w:eastAsia="仿宋" w:hAnsi="仿宋" w:cs="Calibri" w:hint="eastAsia"/>
                <w:b/>
                <w:color w:val="000000"/>
                <w:sz w:val="26"/>
                <w:szCs w:val="26"/>
              </w:rPr>
              <w:t>评价等级</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100分</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176</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25.73</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优秀</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95-99分</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295</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4</w:t>
            </w:r>
            <w:r>
              <w:rPr>
                <w:rFonts w:ascii="仿宋" w:eastAsia="仿宋" w:hAnsi="仿宋" w:cs="Calibri" w:hint="eastAsia"/>
                <w:color w:val="000000"/>
                <w:sz w:val="26"/>
                <w:szCs w:val="26"/>
              </w:rPr>
              <w:t>3.13</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优秀</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90-94分</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150</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21.93</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优秀</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85-89分</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40</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5.85</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良好</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80-84分</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20</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2.92</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良好</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75-79</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2</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0.</w:t>
            </w:r>
            <w:r>
              <w:rPr>
                <w:rFonts w:ascii="仿宋" w:eastAsia="仿宋" w:hAnsi="仿宋" w:cs="Calibri" w:hint="eastAsia"/>
                <w:color w:val="000000"/>
                <w:sz w:val="26"/>
                <w:szCs w:val="26"/>
              </w:rPr>
              <w:t>29</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良好</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60-69分</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1</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sidRPr="002F4097">
              <w:rPr>
                <w:rFonts w:ascii="仿宋" w:eastAsia="仿宋" w:hAnsi="仿宋" w:cs="Calibri" w:hint="eastAsia"/>
                <w:color w:val="000000"/>
                <w:sz w:val="26"/>
                <w:szCs w:val="26"/>
              </w:rPr>
              <w:t>0.</w:t>
            </w:r>
            <w:r>
              <w:rPr>
                <w:rFonts w:ascii="仿宋" w:eastAsia="仿宋" w:hAnsi="仿宋" w:cs="Calibri" w:hint="eastAsia"/>
                <w:color w:val="000000"/>
                <w:sz w:val="26"/>
                <w:szCs w:val="26"/>
              </w:rPr>
              <w:t>15</w:t>
            </w:r>
            <w:r w:rsidRPr="002F4097">
              <w:rPr>
                <w:rFonts w:ascii="仿宋" w:eastAsia="仿宋" w:hAnsi="仿宋" w:cs="Calibri" w:hint="eastAsia"/>
                <w:color w:val="000000"/>
                <w:sz w:val="26"/>
                <w:szCs w:val="26"/>
              </w:rPr>
              <w:t>%</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合格</w:t>
            </w:r>
          </w:p>
        </w:tc>
      </w:tr>
      <w:tr w:rsidR="009C46FD" w:rsidTr="00E70E38">
        <w:trPr>
          <w:trHeight w:hRule="exact" w:val="510"/>
        </w:trPr>
        <w:tc>
          <w:tcPr>
            <w:tcW w:w="2053"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60分以下</w:t>
            </w:r>
          </w:p>
        </w:tc>
        <w:tc>
          <w:tcPr>
            <w:tcW w:w="1747"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0</w:t>
            </w:r>
          </w:p>
        </w:tc>
        <w:tc>
          <w:tcPr>
            <w:tcW w:w="2485"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hint="eastAsia"/>
                <w:color w:val="000000"/>
                <w:sz w:val="26"/>
                <w:szCs w:val="26"/>
              </w:rPr>
              <w:t>0</w:t>
            </w:r>
          </w:p>
        </w:tc>
        <w:tc>
          <w:tcPr>
            <w:tcW w:w="2237" w:type="dxa"/>
            <w:vAlign w:val="center"/>
          </w:tcPr>
          <w:p w:rsidR="009C46FD" w:rsidRPr="002F4097" w:rsidRDefault="009C46FD" w:rsidP="00E70E38">
            <w:pPr>
              <w:jc w:val="center"/>
              <w:rPr>
                <w:rFonts w:ascii="仿宋" w:eastAsia="仿宋" w:hAnsi="仿宋" w:cs="Calibri"/>
                <w:color w:val="000000"/>
                <w:sz w:val="26"/>
                <w:szCs w:val="26"/>
              </w:rPr>
            </w:pPr>
            <w:r>
              <w:rPr>
                <w:rFonts w:ascii="仿宋" w:eastAsia="仿宋" w:hAnsi="仿宋" w:cs="Calibri"/>
                <w:color w:val="000000"/>
                <w:sz w:val="26"/>
                <w:szCs w:val="26"/>
              </w:rPr>
              <w:t>不合格</w:t>
            </w:r>
          </w:p>
        </w:tc>
      </w:tr>
    </w:tbl>
    <w:p w:rsidR="009C46FD" w:rsidRDefault="009C46FD" w:rsidP="009C46FD">
      <w:pPr>
        <w:shd w:val="clear" w:color="auto" w:fill="FFFFFF"/>
        <w:snapToGrid w:val="0"/>
        <w:spacing w:line="360" w:lineRule="auto"/>
        <w:ind w:firstLine="560"/>
        <w:rPr>
          <w:rFonts w:ascii="仿宋" w:eastAsia="仿宋" w:hAnsi="仿宋"/>
          <w:sz w:val="30"/>
          <w:szCs w:val="30"/>
        </w:rPr>
      </w:pPr>
    </w:p>
    <w:p w:rsidR="009C46FD" w:rsidRDefault="009C46FD" w:rsidP="009C46FD">
      <w:pPr>
        <w:snapToGrid w:val="0"/>
        <w:ind w:firstLineChars="200" w:firstLine="602"/>
        <w:jc w:val="center"/>
        <w:rPr>
          <w:rFonts w:ascii="仿宋" w:eastAsia="仿宋" w:hAnsi="仿宋"/>
          <w:b/>
          <w:sz w:val="30"/>
          <w:szCs w:val="30"/>
        </w:rPr>
      </w:pPr>
    </w:p>
    <w:p w:rsidR="009C46FD" w:rsidRDefault="009C46FD" w:rsidP="009C46FD">
      <w:pPr>
        <w:snapToGrid w:val="0"/>
        <w:ind w:firstLineChars="200" w:firstLine="602"/>
        <w:jc w:val="center"/>
        <w:rPr>
          <w:rFonts w:ascii="仿宋" w:eastAsia="仿宋" w:hAnsi="仿宋"/>
          <w:b/>
          <w:sz w:val="30"/>
          <w:szCs w:val="30"/>
        </w:rPr>
      </w:pPr>
    </w:p>
    <w:p w:rsidR="009C46FD" w:rsidRDefault="009C46FD" w:rsidP="009C46FD">
      <w:pPr>
        <w:snapToGrid w:val="0"/>
        <w:ind w:firstLineChars="200" w:firstLine="602"/>
        <w:jc w:val="center"/>
        <w:rPr>
          <w:rFonts w:ascii="仿宋" w:eastAsia="仿宋" w:hAnsi="仿宋"/>
          <w:b/>
          <w:sz w:val="30"/>
          <w:szCs w:val="30"/>
        </w:rPr>
      </w:pPr>
    </w:p>
    <w:p w:rsidR="009C46FD" w:rsidRDefault="009C46FD" w:rsidP="009C46FD">
      <w:pPr>
        <w:snapToGrid w:val="0"/>
        <w:ind w:firstLineChars="200" w:firstLine="602"/>
        <w:jc w:val="center"/>
        <w:rPr>
          <w:rFonts w:ascii="仿宋" w:eastAsia="仿宋" w:hAnsi="仿宋"/>
          <w:b/>
          <w:sz w:val="30"/>
          <w:szCs w:val="30"/>
        </w:rPr>
      </w:pPr>
    </w:p>
    <w:p w:rsidR="009C46FD" w:rsidRPr="003F1745" w:rsidRDefault="009C46FD" w:rsidP="009C46FD">
      <w:pPr>
        <w:snapToGrid w:val="0"/>
        <w:ind w:firstLineChars="200" w:firstLine="602"/>
        <w:jc w:val="center"/>
        <w:rPr>
          <w:rFonts w:ascii="仿宋" w:eastAsia="仿宋" w:hAnsi="仿宋"/>
          <w:b/>
          <w:sz w:val="30"/>
          <w:szCs w:val="30"/>
        </w:rPr>
      </w:pPr>
    </w:p>
    <w:p w:rsidR="009C46FD" w:rsidRDefault="009C46FD" w:rsidP="009C46FD">
      <w:pPr>
        <w:snapToGrid w:val="0"/>
        <w:ind w:firstLineChars="200" w:firstLine="600"/>
        <w:jc w:val="center"/>
        <w:rPr>
          <w:rFonts w:ascii="仿宋" w:eastAsia="仿宋" w:hAnsi="仿宋"/>
          <w:b/>
          <w:sz w:val="30"/>
          <w:szCs w:val="30"/>
        </w:rPr>
      </w:pPr>
      <w:r>
        <w:rPr>
          <w:rFonts w:ascii="仿宋" w:eastAsia="仿宋" w:hAnsi="仿宋"/>
          <w:noProof/>
          <w:sz w:val="30"/>
          <w:szCs w:val="30"/>
        </w:rPr>
        <w:drawing>
          <wp:inline distT="0" distB="0" distL="0" distR="0">
            <wp:extent cx="4648200" cy="2794071"/>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62155" cy="2802460"/>
                    </a:xfrm>
                    <a:prstGeom prst="rect">
                      <a:avLst/>
                    </a:prstGeom>
                    <a:noFill/>
                  </pic:spPr>
                </pic:pic>
              </a:graphicData>
            </a:graphic>
          </wp:inline>
        </w:drawing>
      </w:r>
    </w:p>
    <w:p w:rsidR="009C46FD" w:rsidRDefault="009C46FD" w:rsidP="009C46FD">
      <w:pPr>
        <w:snapToGrid w:val="0"/>
        <w:ind w:firstLineChars="200" w:firstLine="602"/>
        <w:jc w:val="center"/>
        <w:rPr>
          <w:rFonts w:ascii="仿宋" w:eastAsia="仿宋" w:hAnsi="仿宋"/>
          <w:b/>
          <w:sz w:val="30"/>
          <w:szCs w:val="30"/>
        </w:rPr>
      </w:pPr>
      <w:r>
        <w:rPr>
          <w:rFonts w:ascii="仿宋" w:eastAsia="仿宋" w:hAnsi="仿宋" w:hint="eastAsia"/>
          <w:b/>
          <w:sz w:val="30"/>
          <w:szCs w:val="30"/>
        </w:rPr>
        <w:t>图1 各项</w:t>
      </w:r>
      <w:r w:rsidRPr="003F1745">
        <w:rPr>
          <w:rFonts w:ascii="仿宋" w:eastAsia="仿宋" w:hAnsi="仿宋" w:hint="eastAsia"/>
          <w:b/>
          <w:sz w:val="30"/>
          <w:szCs w:val="30"/>
        </w:rPr>
        <w:t>评价</w:t>
      </w:r>
      <w:r>
        <w:rPr>
          <w:rFonts w:ascii="仿宋" w:eastAsia="仿宋" w:hAnsi="仿宋" w:hint="eastAsia"/>
          <w:b/>
          <w:sz w:val="30"/>
          <w:szCs w:val="30"/>
        </w:rPr>
        <w:t>内容平均评价分值情况</w:t>
      </w:r>
    </w:p>
    <w:p w:rsidR="009C46FD" w:rsidRPr="002F4097" w:rsidRDefault="009C46FD" w:rsidP="009C46FD">
      <w:pPr>
        <w:shd w:val="clear" w:color="auto" w:fill="FFFFFF"/>
        <w:snapToGrid w:val="0"/>
        <w:spacing w:line="360" w:lineRule="auto"/>
        <w:ind w:firstLine="560"/>
        <w:rPr>
          <w:rFonts w:ascii="仿宋" w:eastAsia="仿宋" w:hAnsi="仿宋"/>
          <w:sz w:val="30"/>
          <w:szCs w:val="30"/>
        </w:rPr>
      </w:pP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三、持续改进建议</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教师自我评价是教师对自身教学进行诊断、分析和反思的有效手段，目前已纳入学校教师课程教学质量评价体系，成为“四方评教”的重要组成部分。</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各教学单位要高度重视，将教师自我评价和督导评价、同行评价、学生评价一起，纳入院级教师课程教学质量评价体系。按照学校通知要求，精心组织好教师自我评价工作，采取有效措施督促教师积极参与评价，不断提高教师教学水平。</w:t>
      </w:r>
    </w:p>
    <w:p w:rsidR="009C46FD" w:rsidRPr="009C46FD" w:rsidRDefault="009C46FD" w:rsidP="009C46FD">
      <w:pPr>
        <w:snapToGrid w:val="0"/>
        <w:spacing w:line="360" w:lineRule="auto"/>
        <w:ind w:firstLineChars="200" w:firstLine="480"/>
        <w:rPr>
          <w:rFonts w:ascii="仿宋" w:eastAsia="仿宋" w:hAnsi="仿宋" w:cs="宋体"/>
          <w:bCs/>
          <w:color w:val="333333"/>
          <w:kern w:val="0"/>
          <w:sz w:val="24"/>
          <w:szCs w:val="24"/>
        </w:rPr>
      </w:pPr>
      <w:r w:rsidRPr="009C46FD">
        <w:rPr>
          <w:rFonts w:ascii="仿宋" w:eastAsia="仿宋" w:hAnsi="仿宋" w:cs="宋体" w:hint="eastAsia"/>
          <w:bCs/>
          <w:color w:val="333333"/>
          <w:kern w:val="0"/>
          <w:sz w:val="24"/>
          <w:szCs w:val="24"/>
        </w:rPr>
        <w:t xml:space="preserve">各参评教师要积极参与，客观评价自我教学状况，正确认识自己的实际教学水平，通过评价发现自己教学成功的经验和教学失利的不足，并针对不足改进教学，以促进课程教学质量的进一步提升。 </w:t>
      </w:r>
    </w:p>
    <w:p w:rsidR="009734A8" w:rsidRPr="009C46FD" w:rsidRDefault="009734A8" w:rsidP="009C46FD">
      <w:pPr>
        <w:snapToGrid w:val="0"/>
        <w:spacing w:line="360" w:lineRule="auto"/>
        <w:ind w:firstLineChars="200" w:firstLine="480"/>
        <w:rPr>
          <w:rFonts w:ascii="仿宋" w:eastAsia="仿宋" w:hAnsi="仿宋" w:cs="宋体"/>
          <w:bCs/>
          <w:color w:val="333333"/>
          <w:kern w:val="0"/>
          <w:sz w:val="24"/>
          <w:szCs w:val="24"/>
        </w:rPr>
      </w:pPr>
    </w:p>
    <w:p w:rsidR="009734A8" w:rsidRPr="009C46FD" w:rsidRDefault="009734A8" w:rsidP="009C46FD">
      <w:pPr>
        <w:snapToGrid w:val="0"/>
        <w:spacing w:line="360" w:lineRule="auto"/>
        <w:ind w:firstLineChars="200" w:firstLine="480"/>
        <w:rPr>
          <w:rFonts w:ascii="仿宋" w:eastAsia="仿宋" w:hAnsi="仿宋" w:cs="宋体"/>
          <w:bCs/>
          <w:color w:val="333333"/>
          <w:kern w:val="0"/>
          <w:sz w:val="24"/>
          <w:szCs w:val="24"/>
        </w:rPr>
      </w:pPr>
    </w:p>
    <w:p w:rsidR="009734A8" w:rsidRPr="009C46FD" w:rsidRDefault="009734A8" w:rsidP="009C46FD">
      <w:pPr>
        <w:snapToGrid w:val="0"/>
        <w:spacing w:line="360" w:lineRule="auto"/>
        <w:ind w:firstLineChars="200" w:firstLine="480"/>
        <w:rPr>
          <w:rFonts w:ascii="仿宋" w:eastAsia="仿宋" w:hAnsi="仿宋" w:cs="宋体"/>
          <w:bCs/>
          <w:color w:val="333333"/>
          <w:kern w:val="0"/>
          <w:sz w:val="24"/>
          <w:szCs w:val="24"/>
        </w:rPr>
      </w:pPr>
    </w:p>
    <w:p w:rsidR="009734A8" w:rsidRDefault="009734A8" w:rsidP="009734A8">
      <w:pPr>
        <w:snapToGrid w:val="0"/>
        <w:spacing w:line="360" w:lineRule="auto"/>
        <w:ind w:firstLineChars="200" w:firstLine="480"/>
        <w:rPr>
          <w:rFonts w:ascii="仿宋" w:eastAsia="仿宋" w:hAnsi="仿宋" w:cs="宋体"/>
          <w:bCs/>
          <w:color w:val="333333"/>
          <w:kern w:val="0"/>
          <w:sz w:val="24"/>
          <w:szCs w:val="24"/>
        </w:rPr>
      </w:pPr>
    </w:p>
    <w:p w:rsidR="009734A8" w:rsidRPr="009734A8" w:rsidRDefault="009734A8" w:rsidP="009734A8">
      <w:pPr>
        <w:snapToGrid w:val="0"/>
        <w:spacing w:line="360" w:lineRule="auto"/>
        <w:ind w:firstLineChars="200" w:firstLine="480"/>
        <w:rPr>
          <w:rFonts w:ascii="仿宋" w:eastAsia="仿宋" w:hAnsi="仿宋" w:cs="宋体"/>
          <w:bCs/>
          <w:color w:val="333333"/>
          <w:kern w:val="0"/>
          <w:sz w:val="24"/>
          <w:szCs w:val="24"/>
        </w:rPr>
      </w:pPr>
    </w:p>
    <w:p w:rsidR="009734A8" w:rsidRPr="009C46FD" w:rsidRDefault="009734A8" w:rsidP="009C46FD">
      <w:pPr>
        <w:snapToGrid w:val="0"/>
        <w:spacing w:line="360" w:lineRule="auto"/>
        <w:ind w:firstLineChars="200" w:firstLine="480"/>
        <w:rPr>
          <w:rFonts w:ascii="仿宋" w:eastAsia="仿宋" w:hAnsi="仿宋" w:cs="宋体"/>
          <w:bCs/>
          <w:color w:val="333333"/>
          <w:kern w:val="0"/>
          <w:sz w:val="24"/>
          <w:szCs w:val="24"/>
        </w:rPr>
      </w:pPr>
    </w:p>
    <w:p w:rsidR="009734A8" w:rsidRPr="009C46FD" w:rsidRDefault="009734A8" w:rsidP="009C46FD">
      <w:pPr>
        <w:snapToGrid w:val="0"/>
        <w:spacing w:line="360" w:lineRule="auto"/>
        <w:ind w:firstLineChars="200" w:firstLine="480"/>
        <w:rPr>
          <w:rFonts w:ascii="仿宋" w:eastAsia="仿宋" w:hAnsi="仿宋" w:cs="宋体"/>
          <w:bCs/>
          <w:color w:val="333333"/>
          <w:kern w:val="0"/>
          <w:sz w:val="24"/>
          <w:szCs w:val="24"/>
        </w:rPr>
      </w:pPr>
    </w:p>
    <w:sectPr w:rsidR="009734A8" w:rsidRPr="009C46FD" w:rsidSect="006436EC">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2E" w:rsidRDefault="0075482E" w:rsidP="001E1848">
      <w:r>
        <w:separator/>
      </w:r>
    </w:p>
  </w:endnote>
  <w:endnote w:type="continuationSeparator" w:id="0">
    <w:p w:rsidR="0075482E" w:rsidRDefault="0075482E"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5"/>
    </w:tblGrid>
    <w:tr w:rsidR="009734A8">
      <w:tc>
        <w:tcPr>
          <w:tcW w:w="750" w:type="pct"/>
        </w:tcPr>
        <w:p w:rsidR="009734A8" w:rsidRDefault="0069262E">
          <w:pPr>
            <w:pStyle w:val="a6"/>
            <w:jc w:val="right"/>
            <w:rPr>
              <w:color w:val="4F81BD" w:themeColor="accent1"/>
            </w:rPr>
          </w:pPr>
          <w:fldSimple w:instr=" PAGE   \* MERGEFORMAT ">
            <w:r w:rsidR="004371E7" w:rsidRPr="004371E7">
              <w:rPr>
                <w:noProof/>
                <w:color w:val="4F81BD" w:themeColor="accent1"/>
                <w:lang w:val="zh-CN"/>
              </w:rPr>
              <w:t>1</w:t>
            </w:r>
          </w:fldSimple>
        </w:p>
      </w:tc>
      <w:tc>
        <w:tcPr>
          <w:tcW w:w="4250" w:type="pct"/>
        </w:tcPr>
        <w:p w:rsidR="009734A8" w:rsidRDefault="009734A8">
          <w:pPr>
            <w:pStyle w:val="a6"/>
            <w:rPr>
              <w:color w:val="4F81BD" w:themeColor="accent1"/>
            </w:rPr>
          </w:pPr>
        </w:p>
      </w:tc>
    </w:tr>
  </w:tbl>
  <w:p w:rsidR="009734A8" w:rsidRDefault="009734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2E" w:rsidRDefault="0075482E" w:rsidP="001E1848">
      <w:r>
        <w:separator/>
      </w:r>
    </w:p>
  </w:footnote>
  <w:footnote w:type="continuationSeparator" w:id="0">
    <w:p w:rsidR="0075482E" w:rsidRDefault="0075482E"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A8" w:rsidRDefault="009734A8" w:rsidP="00575146">
    <w:pPr>
      <w:pStyle w:val="a5"/>
      <w:pBdr>
        <w:bottom w:val="none" w:sz="0" w:space="0" w:color="auto"/>
      </w:pBdr>
    </w:pPr>
  </w:p>
  <w:p w:rsidR="009734A8" w:rsidRDefault="009734A8" w:rsidP="005751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2BD0"/>
    <w:rsid w:val="00024006"/>
    <w:rsid w:val="00024E68"/>
    <w:rsid w:val="00047F73"/>
    <w:rsid w:val="00084D51"/>
    <w:rsid w:val="001215B3"/>
    <w:rsid w:val="00180E40"/>
    <w:rsid w:val="00190E3E"/>
    <w:rsid w:val="001E1848"/>
    <w:rsid w:val="001E1F3E"/>
    <w:rsid w:val="001E5931"/>
    <w:rsid w:val="00200A41"/>
    <w:rsid w:val="00201DAC"/>
    <w:rsid w:val="002371F7"/>
    <w:rsid w:val="0026524C"/>
    <w:rsid w:val="002B7056"/>
    <w:rsid w:val="002B75F5"/>
    <w:rsid w:val="002C1234"/>
    <w:rsid w:val="002F3840"/>
    <w:rsid w:val="0030734D"/>
    <w:rsid w:val="003527BB"/>
    <w:rsid w:val="003D3E2B"/>
    <w:rsid w:val="003E5C83"/>
    <w:rsid w:val="003E7693"/>
    <w:rsid w:val="004021BD"/>
    <w:rsid w:val="004371E7"/>
    <w:rsid w:val="00445053"/>
    <w:rsid w:val="00485642"/>
    <w:rsid w:val="004C4502"/>
    <w:rsid w:val="00534142"/>
    <w:rsid w:val="005469D6"/>
    <w:rsid w:val="00554A51"/>
    <w:rsid w:val="00575146"/>
    <w:rsid w:val="005C417F"/>
    <w:rsid w:val="005F2ECD"/>
    <w:rsid w:val="00604B5A"/>
    <w:rsid w:val="006436EC"/>
    <w:rsid w:val="00644549"/>
    <w:rsid w:val="00682DCB"/>
    <w:rsid w:val="0069262E"/>
    <w:rsid w:val="00693A48"/>
    <w:rsid w:val="006B333F"/>
    <w:rsid w:val="006C3D70"/>
    <w:rsid w:val="006D6D70"/>
    <w:rsid w:val="006E3CAF"/>
    <w:rsid w:val="00730534"/>
    <w:rsid w:val="0075482E"/>
    <w:rsid w:val="00760C7E"/>
    <w:rsid w:val="007B1AD9"/>
    <w:rsid w:val="007C100C"/>
    <w:rsid w:val="007D1953"/>
    <w:rsid w:val="008058EA"/>
    <w:rsid w:val="00892E44"/>
    <w:rsid w:val="008E3275"/>
    <w:rsid w:val="0093306C"/>
    <w:rsid w:val="00966EAA"/>
    <w:rsid w:val="009734A8"/>
    <w:rsid w:val="009B7019"/>
    <w:rsid w:val="009C00EB"/>
    <w:rsid w:val="009C46FD"/>
    <w:rsid w:val="009D3E64"/>
    <w:rsid w:val="009F0132"/>
    <w:rsid w:val="00A66DA5"/>
    <w:rsid w:val="00A724D3"/>
    <w:rsid w:val="00AA5178"/>
    <w:rsid w:val="00B02B71"/>
    <w:rsid w:val="00B116B0"/>
    <w:rsid w:val="00B117A7"/>
    <w:rsid w:val="00B133AB"/>
    <w:rsid w:val="00BA7573"/>
    <w:rsid w:val="00BE38DA"/>
    <w:rsid w:val="00C00DC6"/>
    <w:rsid w:val="00C30897"/>
    <w:rsid w:val="00C85FF9"/>
    <w:rsid w:val="00CF54C0"/>
    <w:rsid w:val="00D0048D"/>
    <w:rsid w:val="00D01279"/>
    <w:rsid w:val="00D0404C"/>
    <w:rsid w:val="00D14E41"/>
    <w:rsid w:val="00D235CB"/>
    <w:rsid w:val="00D2366D"/>
    <w:rsid w:val="00D355C3"/>
    <w:rsid w:val="00D42124"/>
    <w:rsid w:val="00D467E9"/>
    <w:rsid w:val="00DC1F2C"/>
    <w:rsid w:val="00DE122C"/>
    <w:rsid w:val="00DF59D1"/>
    <w:rsid w:val="00E235F3"/>
    <w:rsid w:val="00E37D0A"/>
    <w:rsid w:val="00E56CE4"/>
    <w:rsid w:val="00E95167"/>
    <w:rsid w:val="00ED310B"/>
    <w:rsid w:val="00ED6212"/>
    <w:rsid w:val="00ED65D3"/>
    <w:rsid w:val="00EE6A6A"/>
    <w:rsid w:val="00EE6FEA"/>
    <w:rsid w:val="00F04C80"/>
    <w:rsid w:val="00F15B04"/>
    <w:rsid w:val="00F32D87"/>
    <w:rsid w:val="00F46695"/>
    <w:rsid w:val="00F66CA1"/>
    <w:rsid w:val="00F9734E"/>
    <w:rsid w:val="00FA7069"/>
    <w:rsid w:val="00FB4BEF"/>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 w:type="paragraph" w:styleId="a8">
    <w:name w:val="Balloon Text"/>
    <w:basedOn w:val="a"/>
    <w:link w:val="Char1"/>
    <w:uiPriority w:val="99"/>
    <w:semiHidden/>
    <w:unhideWhenUsed/>
    <w:rsid w:val="0030734D"/>
    <w:rPr>
      <w:sz w:val="18"/>
      <w:szCs w:val="18"/>
    </w:rPr>
  </w:style>
  <w:style w:type="character" w:customStyle="1" w:styleId="Char1">
    <w:name w:val="批注框文本 Char"/>
    <w:basedOn w:val="a0"/>
    <w:link w:val="a8"/>
    <w:uiPriority w:val="99"/>
    <w:semiHidden/>
    <w:rsid w:val="0030734D"/>
    <w:rPr>
      <w:sz w:val="18"/>
      <w:szCs w:val="18"/>
    </w:rPr>
  </w:style>
  <w:style w:type="table" w:styleId="a9">
    <w:name w:val="Table Grid"/>
    <w:basedOn w:val="a1"/>
    <w:uiPriority w:val="59"/>
    <w:rsid w:val="009C4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6173">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6ED1-4E2A-44A5-A23B-6DD243E2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甘恒志</cp:lastModifiedBy>
  <cp:revision>5</cp:revision>
  <dcterms:created xsi:type="dcterms:W3CDTF">2019-07-11T07:02:00Z</dcterms:created>
  <dcterms:modified xsi:type="dcterms:W3CDTF">2019-07-11T07:17:00Z</dcterms:modified>
</cp:coreProperties>
</file>