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0" w:line="360" w:lineRule="auto"/>
        <w:ind w:left="0" w:leftChars="0" w:firstLine="720" w:firstLineChars="200"/>
        <w:jc w:val="center"/>
        <w:textAlignment w:val="auto"/>
        <w:rPr>
          <w:rFonts w:ascii="黑体" w:hAnsi="黑体" w:eastAsia="黑体"/>
          <w:b w:val="0"/>
          <w:bCs w:val="0"/>
          <w:color w:val="000000"/>
          <w:sz w:val="36"/>
          <w:szCs w:val="36"/>
        </w:rPr>
      </w:pPr>
    </w:p>
    <w:p>
      <w:pPr>
        <w:keepNext w:val="0"/>
        <w:keepLines w:val="0"/>
        <w:pageBreakBefore w:val="0"/>
        <w:widowControl/>
        <w:kinsoku/>
        <w:wordWrap/>
        <w:overflowPunct/>
        <w:topLinePunct w:val="0"/>
        <w:autoSpaceDE/>
        <w:autoSpaceDN/>
        <w:bidi w:val="0"/>
        <w:adjustRightInd/>
        <w:snapToGrid w:val="0"/>
        <w:spacing w:after="0" w:line="360" w:lineRule="auto"/>
        <w:jc w:val="center"/>
        <w:textAlignment w:val="auto"/>
        <w:rPr>
          <w:rFonts w:ascii="黑体" w:hAnsi="黑体" w:eastAsia="黑体"/>
          <w:b w:val="0"/>
          <w:bCs w:val="0"/>
          <w:color w:val="000000"/>
          <w:sz w:val="32"/>
          <w:szCs w:val="32"/>
        </w:rPr>
      </w:pPr>
      <w:r>
        <w:rPr>
          <w:rFonts w:hint="eastAsia" w:ascii="黑体" w:hAnsi="黑体" w:eastAsia="黑体"/>
          <w:b w:val="0"/>
          <w:bCs w:val="0"/>
          <w:color w:val="000000"/>
          <w:sz w:val="32"/>
          <w:szCs w:val="32"/>
        </w:rPr>
        <w:t>第一部分</w:t>
      </w:r>
      <w:r>
        <w:rPr>
          <w:rFonts w:ascii="黑体" w:hAnsi="黑体" w:eastAsia="黑体"/>
          <w:b w:val="0"/>
          <w:bCs w:val="0"/>
          <w:color w:val="000000"/>
          <w:sz w:val="32"/>
          <w:szCs w:val="32"/>
        </w:rPr>
        <w:t xml:space="preserve">  </w:t>
      </w:r>
      <w:r>
        <w:rPr>
          <w:rFonts w:hint="eastAsia" w:ascii="黑体" w:hAnsi="黑体" w:eastAsia="黑体"/>
          <w:b w:val="0"/>
          <w:bCs w:val="0"/>
          <w:color w:val="000000"/>
          <w:sz w:val="32"/>
          <w:szCs w:val="32"/>
        </w:rPr>
        <w:t>河北大学第二批本科专业评估报告综述</w:t>
      </w:r>
    </w:p>
    <w:p>
      <w:pPr>
        <w:keepNext w:val="0"/>
        <w:keepLines w:val="0"/>
        <w:pageBreakBefore w:val="0"/>
        <w:widowControl/>
        <w:kinsoku/>
        <w:wordWrap/>
        <w:overflowPunct/>
        <w:topLinePunct w:val="0"/>
        <w:autoSpaceDE/>
        <w:autoSpaceDN/>
        <w:bidi w:val="0"/>
        <w:adjustRightInd/>
        <w:snapToGrid w:val="0"/>
        <w:spacing w:after="0" w:line="360" w:lineRule="auto"/>
        <w:ind w:left="0" w:leftChars="0" w:firstLine="560" w:firstLineChars="200"/>
        <w:textAlignment w:val="auto"/>
        <w:rPr>
          <w:rFonts w:ascii="仿宋" w:hAnsi="仿宋" w:eastAsia="仿宋"/>
          <w:b w:val="0"/>
          <w:bCs w:val="0"/>
          <w:color w:val="000000"/>
          <w:sz w:val="28"/>
          <w:szCs w:val="28"/>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firstLine="600" w:firstLineChars="200"/>
        <w:textAlignment w:val="auto"/>
        <w:rPr>
          <w:rFonts w:ascii="仿宋" w:hAnsi="仿宋" w:eastAsia="仿宋"/>
          <w:b w:val="0"/>
          <w:bCs w:val="0"/>
          <w:color w:val="000000"/>
          <w:sz w:val="30"/>
          <w:szCs w:val="30"/>
        </w:rPr>
      </w:pPr>
      <w:r>
        <w:rPr>
          <w:rFonts w:hint="eastAsia" w:ascii="仿宋" w:hAnsi="仿宋" w:eastAsia="仿宋"/>
          <w:b w:val="0"/>
          <w:bCs w:val="0"/>
          <w:sz w:val="30"/>
          <w:szCs w:val="30"/>
        </w:rPr>
        <w:t>为不断加强本科专业建设与管理，突出内涵建设和特色发展，提高人才培养质量，根据《河北大学本科专业评估实施方案》（校教字[2017]14号）和校内自我评估工作安排，</w:t>
      </w:r>
      <w:r>
        <w:rPr>
          <w:rFonts w:hint="eastAsia" w:ascii="仿宋" w:hAnsi="仿宋" w:eastAsia="仿宋"/>
          <w:b w:val="0"/>
          <w:bCs w:val="0"/>
          <w:color w:val="000000"/>
          <w:sz w:val="30"/>
          <w:szCs w:val="30"/>
        </w:rPr>
        <w:t>2019-2020学年秋学期，学校选取第二批30个本科专业开展了专项评估。</w:t>
      </w:r>
    </w:p>
    <w:p>
      <w:pPr>
        <w:keepNext w:val="0"/>
        <w:keepLines w:val="0"/>
        <w:pageBreakBefore w:val="0"/>
        <w:widowControl/>
        <w:kinsoku/>
        <w:wordWrap/>
        <w:overflowPunct/>
        <w:topLinePunct w:val="0"/>
        <w:autoSpaceDE/>
        <w:autoSpaceDN/>
        <w:bidi w:val="0"/>
        <w:adjustRightInd/>
        <w:snapToGrid w:val="0"/>
        <w:spacing w:after="0" w:line="360" w:lineRule="auto"/>
        <w:ind w:left="0" w:leftChars="0" w:firstLine="600" w:firstLineChars="200"/>
        <w:textAlignment w:val="auto"/>
        <w:rPr>
          <w:rFonts w:ascii="仿宋" w:hAnsi="仿宋" w:eastAsia="仿宋"/>
          <w:b w:val="0"/>
          <w:bCs w:val="0"/>
          <w:color w:val="000000"/>
          <w:sz w:val="30"/>
          <w:szCs w:val="30"/>
        </w:rPr>
      </w:pPr>
      <w:r>
        <w:rPr>
          <w:rFonts w:hint="eastAsia" w:ascii="仿宋" w:hAnsi="仿宋" w:eastAsia="仿宋"/>
          <w:b w:val="0"/>
          <w:bCs w:val="0"/>
          <w:color w:val="000000"/>
          <w:sz w:val="30"/>
          <w:szCs w:val="30"/>
        </w:rPr>
        <w:t>专业自评阶段，各学院按要求成立本科专业自评领导小组，组织各参评专业开展自评。各专业对照评估指标和主要观测点逐项自查，总结经验、梳理问题，以《河北大学本科专业数据分析报告》为支撑，撰写并提交《专业自评报告》，按目录要求收集汇总相关支撑材料，为接受学校评估做好准备。</w:t>
      </w:r>
    </w:p>
    <w:p>
      <w:pPr>
        <w:keepNext w:val="0"/>
        <w:keepLines w:val="0"/>
        <w:pageBreakBefore w:val="0"/>
        <w:widowControl/>
        <w:kinsoku/>
        <w:wordWrap/>
        <w:overflowPunct/>
        <w:topLinePunct w:val="0"/>
        <w:autoSpaceDE/>
        <w:autoSpaceDN/>
        <w:bidi w:val="0"/>
        <w:adjustRightInd/>
        <w:snapToGrid w:val="0"/>
        <w:spacing w:after="0" w:line="360" w:lineRule="auto"/>
        <w:ind w:left="0" w:leftChars="0" w:firstLine="600" w:firstLineChars="200"/>
        <w:textAlignment w:val="auto"/>
        <w:rPr>
          <w:rFonts w:ascii="仿宋" w:hAnsi="仿宋" w:eastAsia="仿宋"/>
          <w:b w:val="0"/>
          <w:bCs w:val="0"/>
          <w:color w:val="000000"/>
          <w:sz w:val="30"/>
          <w:szCs w:val="30"/>
        </w:rPr>
      </w:pPr>
      <w:r>
        <w:rPr>
          <w:rFonts w:hint="eastAsia" w:ascii="仿宋" w:hAnsi="仿宋" w:eastAsia="仿宋"/>
          <w:b w:val="0"/>
          <w:bCs w:val="0"/>
          <w:color w:val="000000"/>
          <w:sz w:val="30"/>
          <w:szCs w:val="30"/>
        </w:rPr>
        <w:t>学校评估阶段，根据参评专业学科专业性质，学校组成</w:t>
      </w:r>
      <w:r>
        <w:rPr>
          <w:rFonts w:ascii="仿宋" w:hAnsi="仿宋" w:eastAsia="仿宋"/>
          <w:b w:val="0"/>
          <w:bCs w:val="0"/>
          <w:color w:val="000000"/>
          <w:sz w:val="30"/>
          <w:szCs w:val="30"/>
        </w:rPr>
        <w:t>6</w:t>
      </w:r>
      <w:r>
        <w:rPr>
          <w:rFonts w:hint="eastAsia" w:ascii="仿宋" w:hAnsi="仿宋" w:eastAsia="仿宋"/>
          <w:b w:val="0"/>
          <w:bCs w:val="0"/>
          <w:color w:val="000000"/>
          <w:sz w:val="30"/>
          <w:szCs w:val="30"/>
        </w:rPr>
        <w:t>个由校内督学组成的专家组，包括</w:t>
      </w:r>
      <w:r>
        <w:rPr>
          <w:rFonts w:ascii="仿宋" w:hAnsi="仿宋" w:eastAsia="仿宋"/>
          <w:b w:val="0"/>
          <w:bCs w:val="0"/>
          <w:color w:val="000000"/>
          <w:sz w:val="30"/>
          <w:szCs w:val="30"/>
        </w:rPr>
        <w:t>3</w:t>
      </w:r>
      <w:r>
        <w:rPr>
          <w:rFonts w:hint="eastAsia" w:ascii="仿宋" w:hAnsi="仿宋" w:eastAsia="仿宋"/>
          <w:b w:val="0"/>
          <w:bCs w:val="0"/>
          <w:color w:val="000000"/>
          <w:sz w:val="30"/>
          <w:szCs w:val="30"/>
        </w:rPr>
        <w:t>个文科组、2个理工科组和</w:t>
      </w:r>
      <w:r>
        <w:rPr>
          <w:rFonts w:ascii="仿宋" w:hAnsi="仿宋" w:eastAsia="仿宋"/>
          <w:b w:val="0"/>
          <w:bCs w:val="0"/>
          <w:color w:val="000000"/>
          <w:sz w:val="30"/>
          <w:szCs w:val="30"/>
        </w:rPr>
        <w:t>1</w:t>
      </w:r>
      <w:r>
        <w:rPr>
          <w:rFonts w:hint="eastAsia" w:ascii="仿宋" w:hAnsi="仿宋" w:eastAsia="仿宋"/>
          <w:b w:val="0"/>
          <w:bCs w:val="0"/>
          <w:color w:val="000000"/>
          <w:sz w:val="30"/>
          <w:szCs w:val="30"/>
        </w:rPr>
        <w:t>个医科组。教育教学质量评估与教师发展中心专门下发《评估专家工作指南》《本科专业评估考察要点》等材料，对专业评估工作进行部署安排。</w:t>
      </w:r>
    </w:p>
    <w:p>
      <w:pPr>
        <w:keepNext w:val="0"/>
        <w:keepLines w:val="0"/>
        <w:pageBreakBefore w:val="0"/>
        <w:widowControl/>
        <w:kinsoku/>
        <w:wordWrap/>
        <w:overflowPunct/>
        <w:topLinePunct w:val="0"/>
        <w:autoSpaceDE/>
        <w:autoSpaceDN/>
        <w:bidi w:val="0"/>
        <w:adjustRightInd/>
        <w:snapToGrid w:val="0"/>
        <w:spacing w:after="0" w:line="360" w:lineRule="auto"/>
        <w:ind w:left="0" w:leftChars="0" w:firstLine="600" w:firstLineChars="200"/>
        <w:textAlignment w:val="auto"/>
        <w:rPr>
          <w:rFonts w:ascii="仿宋" w:hAnsi="仿宋" w:eastAsia="仿宋"/>
          <w:b w:val="0"/>
          <w:bCs w:val="0"/>
          <w:color w:val="000000"/>
          <w:sz w:val="30"/>
          <w:szCs w:val="30"/>
        </w:rPr>
      </w:pPr>
      <w:r>
        <w:rPr>
          <w:rFonts w:hint="eastAsia" w:ascii="仿宋" w:hAnsi="仿宋" w:eastAsia="仿宋"/>
          <w:b w:val="0"/>
          <w:bCs w:val="0"/>
          <w:color w:val="000000"/>
          <w:sz w:val="30"/>
          <w:szCs w:val="30"/>
        </w:rPr>
        <w:t>实地考察前，专家组成员认真审阅各专业自评报告和数据分析报告；实地考察期间，各专家组通过查阅支撑材料及试卷和毕业论文（设计）、听取专业汇报和就存疑问题进行访谈等方式，围绕“五个度”（专业培养目标与培养效果的达成度、专业定位与社会需求的适应度、师资队伍及教学资源的支撑度、质量保障体系运行的有效度以及学生和用人单位的满意度），对各评估指标内容进行考察，本次专业评估与课程考核试卷评估、毕业论文（设计）评估合并进行。考察结束后，各专家组对评估情况进行了现场反馈，就评估意见与参评专业进行交流，撰写完成《专业评估报告》，评估报告明确了各专业值得肯定和需要改进之处，并提出整改意见和建议。</w:t>
      </w:r>
    </w:p>
    <w:p>
      <w:pPr>
        <w:keepNext w:val="0"/>
        <w:keepLines w:val="0"/>
        <w:pageBreakBefore w:val="0"/>
        <w:widowControl/>
        <w:kinsoku/>
        <w:wordWrap/>
        <w:overflowPunct/>
        <w:topLinePunct w:val="0"/>
        <w:autoSpaceDE/>
        <w:autoSpaceDN/>
        <w:bidi w:val="0"/>
        <w:adjustRightInd/>
        <w:snapToGrid w:val="0"/>
        <w:spacing w:after="0" w:line="360" w:lineRule="auto"/>
        <w:ind w:left="0" w:leftChars="0" w:firstLine="602" w:firstLineChars="200"/>
        <w:textAlignment w:val="auto"/>
        <w:rPr>
          <w:rFonts w:ascii="仿宋" w:hAnsi="仿宋" w:eastAsia="仿宋"/>
          <w:b/>
          <w:bCs/>
          <w:color w:val="000000"/>
          <w:sz w:val="30"/>
          <w:szCs w:val="30"/>
        </w:rPr>
      </w:pPr>
      <w:r>
        <w:rPr>
          <w:rFonts w:hint="eastAsia" w:ascii="仿宋" w:hAnsi="仿宋" w:eastAsia="仿宋"/>
          <w:b/>
          <w:bCs/>
          <w:color w:val="000000"/>
          <w:sz w:val="30"/>
          <w:szCs w:val="30"/>
        </w:rPr>
        <w:t>一、值得肯定之处</w:t>
      </w:r>
    </w:p>
    <w:p>
      <w:pPr>
        <w:keepNext w:val="0"/>
        <w:keepLines w:val="0"/>
        <w:pageBreakBefore w:val="0"/>
        <w:widowControl/>
        <w:kinsoku/>
        <w:wordWrap/>
        <w:overflowPunct/>
        <w:topLinePunct w:val="0"/>
        <w:autoSpaceDE/>
        <w:autoSpaceDN/>
        <w:bidi w:val="0"/>
        <w:adjustRightInd/>
        <w:snapToGrid w:val="0"/>
        <w:spacing w:after="0" w:line="360" w:lineRule="auto"/>
        <w:ind w:left="0" w:leftChars="0" w:firstLine="600" w:firstLineChars="200"/>
        <w:textAlignment w:val="auto"/>
        <w:rPr>
          <w:rFonts w:ascii="仿宋" w:hAnsi="仿宋" w:eastAsia="仿宋"/>
          <w:b w:val="0"/>
          <w:bCs w:val="0"/>
          <w:color w:val="000000"/>
          <w:sz w:val="30"/>
          <w:szCs w:val="30"/>
        </w:rPr>
      </w:pPr>
      <w:r>
        <w:rPr>
          <w:rFonts w:hint="eastAsia" w:ascii="仿宋" w:hAnsi="仿宋" w:eastAsia="仿宋"/>
          <w:b w:val="0"/>
          <w:bCs w:val="0"/>
          <w:color w:val="000000"/>
          <w:sz w:val="30"/>
          <w:szCs w:val="30"/>
        </w:rPr>
        <w:t>绝大多数专业有明确的培养目标和毕业要求，多数专业的培养目标符合专业定位</w:t>
      </w:r>
      <w:r>
        <w:rPr>
          <w:rFonts w:hint="eastAsia" w:ascii="仿宋" w:hAnsi="仿宋" w:eastAsia="仿宋"/>
          <w:b w:val="0"/>
          <w:bCs w:val="0"/>
          <w:color w:val="000000"/>
          <w:sz w:val="30"/>
          <w:szCs w:val="30"/>
          <w:lang w:eastAsia="zh-CN"/>
        </w:rPr>
        <w:t>，毕业要求涵盖知识、能力、素质培养</w:t>
      </w:r>
      <w:r>
        <w:rPr>
          <w:rFonts w:hint="eastAsia" w:ascii="仿宋" w:hAnsi="仿宋" w:eastAsia="仿宋"/>
          <w:b w:val="0"/>
          <w:bCs w:val="0"/>
          <w:color w:val="000000"/>
          <w:sz w:val="30"/>
          <w:szCs w:val="30"/>
        </w:rPr>
        <w:t>；部分专业的专任教师数量基本达到国家标准、结构比较合理</w:t>
      </w:r>
      <w:r>
        <w:rPr>
          <w:rFonts w:hint="eastAsia" w:ascii="仿宋" w:hAnsi="仿宋" w:eastAsia="仿宋"/>
          <w:b w:val="0"/>
          <w:bCs w:val="0"/>
          <w:color w:val="000000"/>
          <w:sz w:val="30"/>
          <w:szCs w:val="30"/>
          <w:lang w:eastAsia="zh-CN"/>
        </w:rPr>
        <w:t>，教师科研水平高、科研成果突出</w:t>
      </w:r>
      <w:r>
        <w:rPr>
          <w:rFonts w:hint="eastAsia" w:ascii="仿宋" w:hAnsi="仿宋" w:eastAsia="仿宋"/>
          <w:b w:val="0"/>
          <w:bCs w:val="0"/>
          <w:color w:val="000000"/>
          <w:sz w:val="30"/>
          <w:szCs w:val="30"/>
        </w:rPr>
        <w:t>；以</w:t>
      </w:r>
      <w:r>
        <w:rPr>
          <w:rFonts w:hint="eastAsia" w:ascii="仿宋" w:hAnsi="仿宋" w:eastAsia="仿宋"/>
          <w:b w:val="0"/>
          <w:bCs w:val="0"/>
          <w:color w:val="000000"/>
          <w:sz w:val="30"/>
          <w:szCs w:val="30"/>
          <w:lang w:val="en-US" w:eastAsia="zh-CN"/>
        </w:rPr>
        <w:t>2019</w:t>
      </w:r>
      <w:r>
        <w:rPr>
          <w:rFonts w:hint="eastAsia" w:ascii="仿宋" w:hAnsi="仿宋" w:eastAsia="仿宋"/>
          <w:b w:val="0"/>
          <w:bCs w:val="0"/>
          <w:color w:val="000000"/>
          <w:sz w:val="30"/>
          <w:szCs w:val="30"/>
        </w:rPr>
        <w:t>版人才培养方案修订为契机</w:t>
      </w:r>
      <w:r>
        <w:rPr>
          <w:rFonts w:hint="eastAsia" w:ascii="仿宋" w:hAnsi="仿宋" w:eastAsia="仿宋"/>
          <w:b w:val="0"/>
          <w:bCs w:val="0"/>
          <w:color w:val="000000"/>
          <w:sz w:val="30"/>
          <w:szCs w:val="30"/>
          <w:lang w:eastAsia="zh-CN"/>
        </w:rPr>
        <w:t>，多数</w:t>
      </w:r>
      <w:r>
        <w:rPr>
          <w:rFonts w:hint="eastAsia" w:ascii="仿宋" w:hAnsi="仿宋" w:eastAsia="仿宋"/>
          <w:b w:val="0"/>
          <w:bCs w:val="0"/>
          <w:color w:val="000000"/>
          <w:sz w:val="30"/>
          <w:szCs w:val="30"/>
        </w:rPr>
        <w:t>专业</w:t>
      </w:r>
      <w:r>
        <w:rPr>
          <w:rFonts w:hint="eastAsia" w:ascii="仿宋" w:hAnsi="仿宋" w:eastAsia="仿宋"/>
          <w:b w:val="0"/>
          <w:bCs w:val="0"/>
          <w:color w:val="000000"/>
          <w:sz w:val="30"/>
          <w:szCs w:val="30"/>
          <w:lang w:eastAsia="zh-CN"/>
        </w:rPr>
        <w:t>合理设置并优化</w:t>
      </w:r>
      <w:r>
        <w:rPr>
          <w:rFonts w:hint="eastAsia" w:ascii="仿宋" w:hAnsi="仿宋" w:eastAsia="仿宋"/>
          <w:b w:val="0"/>
          <w:bCs w:val="0"/>
          <w:color w:val="000000"/>
          <w:sz w:val="30"/>
          <w:szCs w:val="30"/>
        </w:rPr>
        <w:t>课程</w:t>
      </w:r>
      <w:r>
        <w:rPr>
          <w:rFonts w:hint="eastAsia" w:ascii="仿宋" w:hAnsi="仿宋" w:eastAsia="仿宋"/>
          <w:b w:val="0"/>
          <w:bCs w:val="0"/>
          <w:color w:val="000000"/>
          <w:sz w:val="30"/>
          <w:szCs w:val="30"/>
          <w:lang w:eastAsia="zh-CN"/>
        </w:rPr>
        <w:t>体系</w:t>
      </w:r>
      <w:r>
        <w:rPr>
          <w:rFonts w:hint="eastAsia" w:ascii="仿宋" w:hAnsi="仿宋" w:eastAsia="仿宋"/>
          <w:b w:val="0"/>
          <w:bCs w:val="0"/>
          <w:color w:val="000000"/>
          <w:sz w:val="30"/>
          <w:szCs w:val="30"/>
        </w:rPr>
        <w:t>，教材选用符合要求，有稳定的实践教学基地；多数专业建设经费投入有保障，图书资料基本满足学生需求；各学院</w:t>
      </w:r>
      <w:r>
        <w:rPr>
          <w:rFonts w:hint="eastAsia" w:ascii="仿宋" w:hAnsi="仿宋" w:eastAsia="仿宋"/>
          <w:b w:val="0"/>
          <w:bCs w:val="0"/>
          <w:color w:val="000000"/>
          <w:sz w:val="30"/>
          <w:szCs w:val="30"/>
          <w:lang w:eastAsia="zh-CN"/>
        </w:rPr>
        <w:t>均</w:t>
      </w:r>
      <w:r>
        <w:rPr>
          <w:rFonts w:hint="eastAsia" w:ascii="仿宋" w:hAnsi="仿宋" w:eastAsia="仿宋"/>
          <w:b w:val="0"/>
          <w:bCs w:val="0"/>
          <w:color w:val="000000"/>
          <w:sz w:val="30"/>
          <w:szCs w:val="30"/>
        </w:rPr>
        <w:t>有稳定的教学督导队伍，</w:t>
      </w:r>
      <w:r>
        <w:rPr>
          <w:rFonts w:hint="eastAsia" w:ascii="仿宋" w:hAnsi="仿宋" w:eastAsia="仿宋"/>
          <w:b w:val="0"/>
          <w:bCs w:val="0"/>
          <w:color w:val="000000"/>
          <w:sz w:val="30"/>
          <w:szCs w:val="30"/>
          <w:lang w:eastAsia="zh-CN"/>
        </w:rPr>
        <w:t>院级督导</w:t>
      </w:r>
      <w:r>
        <w:rPr>
          <w:rFonts w:hint="eastAsia" w:ascii="仿宋" w:hAnsi="仿宋" w:eastAsia="仿宋"/>
          <w:b w:val="0"/>
          <w:bCs w:val="0"/>
          <w:color w:val="000000"/>
          <w:sz w:val="30"/>
          <w:szCs w:val="30"/>
        </w:rPr>
        <w:t>能按照学校要求开展</w:t>
      </w:r>
      <w:r>
        <w:rPr>
          <w:rFonts w:hint="eastAsia" w:ascii="仿宋" w:hAnsi="仿宋" w:eastAsia="仿宋"/>
          <w:b w:val="0"/>
          <w:bCs w:val="0"/>
          <w:color w:val="000000"/>
          <w:sz w:val="30"/>
          <w:szCs w:val="30"/>
          <w:lang w:eastAsia="zh-CN"/>
        </w:rPr>
        <w:t>听课</w:t>
      </w:r>
      <w:r>
        <w:rPr>
          <w:rFonts w:hint="eastAsia" w:ascii="仿宋" w:hAnsi="仿宋" w:eastAsia="仿宋"/>
          <w:b w:val="0"/>
          <w:bCs w:val="0"/>
          <w:color w:val="000000"/>
          <w:sz w:val="30"/>
          <w:szCs w:val="30"/>
        </w:rPr>
        <w:t>评教、</w:t>
      </w:r>
      <w:r>
        <w:rPr>
          <w:rFonts w:hint="eastAsia" w:ascii="仿宋" w:hAnsi="仿宋" w:eastAsia="仿宋"/>
          <w:b w:val="0"/>
          <w:bCs w:val="0"/>
          <w:color w:val="000000"/>
          <w:sz w:val="30"/>
          <w:szCs w:val="30"/>
          <w:lang w:eastAsia="zh-CN"/>
        </w:rPr>
        <w:t>课程考核试卷质量与毕业论文（设计）评估院级自评</w:t>
      </w:r>
      <w:r>
        <w:rPr>
          <w:rFonts w:hint="eastAsia" w:ascii="仿宋" w:hAnsi="仿宋" w:eastAsia="仿宋"/>
          <w:b w:val="0"/>
          <w:bCs w:val="0"/>
          <w:color w:val="000000"/>
          <w:sz w:val="30"/>
          <w:szCs w:val="30"/>
        </w:rPr>
        <w:t>等工作；多数专业</w:t>
      </w:r>
      <w:r>
        <w:rPr>
          <w:rFonts w:hint="eastAsia" w:ascii="仿宋" w:hAnsi="仿宋" w:eastAsia="仿宋"/>
          <w:b w:val="0"/>
          <w:bCs w:val="0"/>
          <w:color w:val="000000"/>
          <w:sz w:val="30"/>
          <w:szCs w:val="30"/>
          <w:lang w:eastAsia="zh-CN"/>
        </w:rPr>
        <w:t>有吸引优秀生源的措施</w:t>
      </w:r>
      <w:r>
        <w:rPr>
          <w:rFonts w:hint="eastAsia" w:ascii="仿宋" w:hAnsi="仿宋" w:eastAsia="仿宋"/>
          <w:b w:val="0"/>
          <w:bCs w:val="0"/>
          <w:color w:val="000000"/>
          <w:sz w:val="30"/>
          <w:szCs w:val="30"/>
        </w:rPr>
        <w:t>，学生入学之后专业思想较为稳定，考研率、就业率和学位授予率较高，毕业生满意度较高；部分专业在长期建设过程中逐步形成了自己的特色。</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二、</w:t>
      </w:r>
      <w:r>
        <w:rPr>
          <w:rFonts w:hint="eastAsia" w:ascii="仿宋" w:hAnsi="仿宋" w:eastAsia="仿宋"/>
          <w:b/>
          <w:bCs/>
          <w:color w:val="000000"/>
          <w:sz w:val="30"/>
          <w:szCs w:val="30"/>
        </w:rPr>
        <w:t>需要整改之处</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eastAsia="zh-CN"/>
        </w:rPr>
        <w:t>本次专业评估共</w:t>
      </w:r>
      <w:r>
        <w:rPr>
          <w:rFonts w:hint="eastAsia" w:ascii="仿宋" w:hAnsi="仿宋" w:eastAsia="仿宋"/>
          <w:b w:val="0"/>
          <w:bCs w:val="0"/>
          <w:color w:val="000000"/>
          <w:sz w:val="30"/>
          <w:szCs w:val="30"/>
          <w:lang w:val="en-US" w:eastAsia="zh-CN"/>
        </w:rPr>
        <w:t>30个专业，其中文理工科专业27个，医科专业3个。对照一级指标，文理工科专业主要存在如下问题：</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（一）培养目标与毕业要求</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1.</w:t>
      </w:r>
      <w:r>
        <w:rPr>
          <w:rFonts w:hint="eastAsia" w:ascii="仿宋" w:hAnsi="仿宋" w:eastAsia="仿宋"/>
          <w:b w:val="0"/>
          <w:bCs w:val="0"/>
          <w:color w:val="000000"/>
          <w:sz w:val="30"/>
          <w:szCs w:val="30"/>
          <w:lang w:eastAsia="zh-CN"/>
        </w:rPr>
        <w:t>个别专业在培养目标和毕业要求没有体现立德树人的根本要求，缺乏关于对学生正确政治方向、遵守国家法律法规等方面的表述；个别培养目标体现自身特色及服务地方经济发展服务方面不突出。</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2.一些</w:t>
      </w:r>
      <w:r>
        <w:rPr>
          <w:rFonts w:hint="eastAsia" w:ascii="仿宋" w:hAnsi="仿宋" w:eastAsia="仿宋"/>
          <w:b w:val="0"/>
          <w:bCs w:val="0"/>
          <w:color w:val="000000"/>
          <w:sz w:val="30"/>
          <w:szCs w:val="30"/>
          <w:lang w:eastAsia="zh-CN"/>
        </w:rPr>
        <w:t>专业特别是多数文科类专业或者仍然尚未建立起人才培养目标合理性定期评价制度，或者在评价过程中没有充分吸纳同行专家、企事业单位、专业教师和学生参与，制度执行上有差距。</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（二）教师队伍</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1.</w:t>
      </w:r>
      <w:r>
        <w:rPr>
          <w:rFonts w:hint="eastAsia" w:ascii="仿宋" w:hAnsi="仿宋" w:eastAsia="仿宋"/>
          <w:b w:val="0"/>
          <w:bCs w:val="0"/>
          <w:color w:val="000000"/>
          <w:sz w:val="30"/>
          <w:szCs w:val="30"/>
          <w:lang w:eastAsia="zh-CN"/>
        </w:rPr>
        <w:t>对照国标，此次参评的部分工科专业专任教师数量不足，特别是软件工程、计算机科学与技术、中药学等专业专任教师严重短缺。除个别专业数量充足外，多数专业数量刚刚达标，无法充分满足教学需要。</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2.</w:t>
      </w:r>
      <w:r>
        <w:rPr>
          <w:rFonts w:hint="eastAsia" w:ascii="仿宋" w:hAnsi="仿宋" w:eastAsia="仿宋"/>
          <w:b w:val="0"/>
          <w:bCs w:val="0"/>
          <w:color w:val="000000"/>
          <w:sz w:val="30"/>
          <w:szCs w:val="30"/>
          <w:lang w:eastAsia="zh-CN"/>
        </w:rPr>
        <w:t>师资队伍国际化水平整体需提升，国际交流与合作缺乏深度，青年教师国际交流机会少。缺乏高水平尤其是具有行业经验的创新型学科带头人；双师型、行业企业背景教师不足。</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3.</w:t>
      </w:r>
      <w:r>
        <w:rPr>
          <w:rFonts w:hint="eastAsia" w:ascii="仿宋" w:hAnsi="仿宋" w:eastAsia="仿宋"/>
          <w:b w:val="0"/>
          <w:bCs w:val="0"/>
          <w:color w:val="000000"/>
          <w:sz w:val="30"/>
          <w:szCs w:val="30"/>
          <w:lang w:eastAsia="zh-CN"/>
        </w:rPr>
        <w:t>教师投入本科教学特别是投入教改教研的积极性不高，科研成果强，但高水平教改论文、教改项目、教学成果奖等标志性成果少；鼓励教师投入教学的激励机制尚未有效建立，关注专业团队整体发展不足。这些问题在多数专业都有体现。</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4.</w:t>
      </w:r>
      <w:r>
        <w:rPr>
          <w:rFonts w:hint="eastAsia" w:ascii="仿宋" w:hAnsi="仿宋" w:eastAsia="仿宋"/>
          <w:b w:val="0"/>
          <w:bCs w:val="0"/>
          <w:color w:val="000000"/>
          <w:sz w:val="30"/>
          <w:szCs w:val="30"/>
          <w:lang w:eastAsia="zh-CN"/>
        </w:rPr>
        <w:t>对于新入职教师的教学指导和鼓励机制还不够健全，传帮带方面工作有待加强制度建设和落实。根据国家质量标准，多数专业尚未建立起必修课助教制度。</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（三）教学建设</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eastAsia="zh-CN"/>
        </w:rPr>
        <w:t>普遍缺少科学合理的专业建设、课程建设和教材建设等相关建设规划。</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1.</w:t>
      </w:r>
      <w:r>
        <w:rPr>
          <w:rFonts w:hint="eastAsia" w:ascii="仿宋" w:hAnsi="仿宋" w:eastAsia="仿宋"/>
          <w:b w:val="0"/>
          <w:bCs w:val="0"/>
          <w:color w:val="000000"/>
          <w:sz w:val="30"/>
          <w:szCs w:val="30"/>
          <w:lang w:eastAsia="zh-CN"/>
        </w:rPr>
        <w:t>课程建设：课程对毕业要求和培养目标达成的支撑度不足，课程体系总体设计和统筹考虑不足；主干课程还没有实现“一课多人”的建设目标，相关课程间缺乏有机融合与相互促进；教师教学与现代教育技术深度融合不够，精品和特色课程、网络课程、慕课、翻转课堂建设需要加强。</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2.</w:t>
      </w:r>
      <w:r>
        <w:rPr>
          <w:rFonts w:hint="eastAsia" w:ascii="仿宋" w:hAnsi="仿宋" w:eastAsia="仿宋"/>
          <w:b w:val="0"/>
          <w:bCs w:val="0"/>
          <w:color w:val="000000"/>
          <w:sz w:val="30"/>
          <w:szCs w:val="30"/>
          <w:lang w:eastAsia="zh-CN"/>
        </w:rPr>
        <w:t>教材建设：教师将科研成果及学科前沿知识融入教学内容、转化为本科教学资源的标志性成果不突出，多数专业教师主编教材特别是高水平教材方面有所欠缺。个别专业教材选用突出前瞻性、实用性和特色性不足。</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3.</w:t>
      </w:r>
      <w:r>
        <w:rPr>
          <w:rFonts w:hint="eastAsia" w:ascii="仿宋" w:hAnsi="仿宋" w:eastAsia="仿宋"/>
          <w:b w:val="0"/>
          <w:bCs w:val="0"/>
          <w:color w:val="000000"/>
          <w:sz w:val="30"/>
          <w:szCs w:val="30"/>
          <w:lang w:eastAsia="zh-CN"/>
        </w:rPr>
        <w:t>实践教学建设：参评专业实习基地建设制度建设和运行管理还不够完善，存在有效利用度不高、实习监管不到位、实习时间与内容常态化规范化不足、学生参与实习的激励约束机制不够健全等问题。</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（四）支持条件</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1.</w:t>
      </w:r>
      <w:r>
        <w:rPr>
          <w:rFonts w:hint="eastAsia" w:ascii="仿宋" w:hAnsi="仿宋" w:eastAsia="仿宋"/>
          <w:b w:val="0"/>
          <w:bCs w:val="0"/>
          <w:color w:val="000000"/>
          <w:sz w:val="30"/>
          <w:szCs w:val="30"/>
          <w:lang w:eastAsia="zh-CN"/>
        </w:rPr>
        <w:t>实践教学用房严重不足，个别专业新购置设备无处存放，应用心理学</w:t>
      </w:r>
      <w:r>
        <w:rPr>
          <w:rFonts w:hint="eastAsia" w:ascii="仿宋" w:hAnsi="仿宋" w:eastAsia="仿宋"/>
          <w:b w:val="0"/>
          <w:bCs w:val="0"/>
          <w:color w:val="000000"/>
          <w:sz w:val="30"/>
          <w:szCs w:val="30"/>
          <w:lang w:val="en-US" w:eastAsia="zh-CN"/>
        </w:rPr>
        <w:t>2017年购置的虚拟仿真设备由于没有符合条件的实验室至今没有安装使用，机械制造及其自动化专业购置的加工设备40余台真正投入的不足10台</w:t>
      </w:r>
      <w:r>
        <w:rPr>
          <w:rFonts w:hint="eastAsia" w:ascii="仿宋" w:hAnsi="仿宋" w:eastAsia="仿宋"/>
          <w:b w:val="0"/>
          <w:bCs w:val="0"/>
          <w:color w:val="000000"/>
          <w:sz w:val="30"/>
          <w:szCs w:val="30"/>
          <w:lang w:eastAsia="zh-CN"/>
        </w:rPr>
        <w:t>，导致资源的严重浪费。</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2.</w:t>
      </w:r>
      <w:r>
        <w:rPr>
          <w:rFonts w:hint="eastAsia" w:ascii="仿宋" w:hAnsi="仿宋" w:eastAsia="仿宋"/>
          <w:b w:val="0"/>
          <w:bCs w:val="0"/>
          <w:color w:val="000000"/>
          <w:sz w:val="30"/>
          <w:szCs w:val="30"/>
          <w:lang w:eastAsia="zh-CN"/>
        </w:rPr>
        <w:t>实习经费依然存在学院自筹或学生自负的现象，经费短缺导致学生参与国标要求周数的专业实习和社会实践无法得到保障；实习基地遴选与专业定位、课程目标结合不够紧密，种类和层次有待拓展提升，基地发挥作用不一。这些都使实践教学质量受到影响。</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3.</w:t>
      </w:r>
      <w:r>
        <w:rPr>
          <w:rFonts w:hint="eastAsia" w:ascii="仿宋" w:hAnsi="仿宋" w:eastAsia="仿宋"/>
          <w:b w:val="0"/>
          <w:bCs w:val="0"/>
          <w:color w:val="000000"/>
          <w:sz w:val="30"/>
          <w:szCs w:val="30"/>
          <w:lang w:eastAsia="zh-CN"/>
        </w:rPr>
        <w:t>许多学院办公场地仅能满足学院会议需要，各系、室教研场地局促、教研空间不敷使用，导致教师对学生的课程辅导、论文指导、辅导员与学生座谈等活动难以开展，教师教研活动质量也受到很大影响。</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4.</w:t>
      </w:r>
      <w:r>
        <w:rPr>
          <w:rFonts w:hint="eastAsia" w:ascii="仿宋" w:hAnsi="仿宋" w:eastAsia="仿宋"/>
          <w:b w:val="0"/>
          <w:bCs w:val="0"/>
          <w:color w:val="000000"/>
          <w:sz w:val="30"/>
          <w:szCs w:val="30"/>
          <w:lang w:eastAsia="zh-CN"/>
        </w:rPr>
        <w:t>部分专业实验室设备陈旧老化，更新不及时。部分专业两校区办学，资源分散，利用率低；实验室、资料室等教学设施未能惠及全体本科生，开放性、综合利用率较低。</w:t>
      </w:r>
      <w:r>
        <w:rPr>
          <w:rFonts w:hint="eastAsia" w:ascii="仿宋" w:hAnsi="仿宋" w:eastAsia="仿宋"/>
          <w:b w:val="0"/>
          <w:bCs w:val="0"/>
          <w:color w:val="000000"/>
          <w:sz w:val="30"/>
          <w:szCs w:val="3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2"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bCs/>
          <w:color w:val="000000"/>
          <w:sz w:val="30"/>
          <w:szCs w:val="30"/>
          <w:lang w:val="en-US" w:eastAsia="zh-CN"/>
        </w:rPr>
        <w:t>（五）</w:t>
      </w:r>
      <w:r>
        <w:rPr>
          <w:rFonts w:hint="eastAsia" w:ascii="仿宋" w:hAnsi="仿宋" w:eastAsia="仿宋"/>
          <w:b/>
          <w:bCs/>
          <w:color w:val="000000"/>
          <w:sz w:val="30"/>
          <w:szCs w:val="30"/>
          <w:lang w:eastAsia="zh-CN"/>
        </w:rPr>
        <w:t>质量保障</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default"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1.</w:t>
      </w:r>
      <w:r>
        <w:rPr>
          <w:rFonts w:hint="eastAsia" w:ascii="仿宋" w:hAnsi="仿宋" w:eastAsia="仿宋"/>
          <w:b w:val="0"/>
          <w:bCs w:val="0"/>
          <w:color w:val="000000"/>
          <w:sz w:val="30"/>
          <w:szCs w:val="30"/>
          <w:lang w:eastAsia="zh-CN"/>
        </w:rPr>
        <w:t>系主任、课程组长和院级督导作用发挥不够充分，缺乏明确可持续的激励机制。教师互听互评制度落实不到位，学生评教参与积极性不高，学生评教结果客观公正性有待提高。</w:t>
      </w:r>
      <w:r>
        <w:rPr>
          <w:rFonts w:hint="eastAsia" w:ascii="仿宋" w:hAnsi="仿宋" w:eastAsia="仿宋"/>
          <w:b w:val="0"/>
          <w:bCs w:val="0"/>
          <w:color w:val="000000"/>
          <w:sz w:val="30"/>
          <w:szCs w:val="3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2.</w:t>
      </w:r>
      <w:r>
        <w:rPr>
          <w:rFonts w:hint="eastAsia" w:ascii="仿宋" w:hAnsi="仿宋" w:eastAsia="仿宋"/>
          <w:b w:val="0"/>
          <w:bCs w:val="0"/>
          <w:color w:val="000000"/>
          <w:sz w:val="30"/>
          <w:szCs w:val="30"/>
          <w:lang w:eastAsia="zh-CN"/>
        </w:rPr>
        <w:t>对于教学评价中发现的问题，缺乏制度化、常态化的信息反馈渠道，存在反馈程序不规范、反馈不及时或淡化反馈的情况。教学评价结果运用不够充分，缺乏奖优罚劣的激励约束机制，对教学存在问题的教师帮扶不足。</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3.</w:t>
      </w:r>
      <w:r>
        <w:rPr>
          <w:rFonts w:hint="eastAsia" w:ascii="仿宋" w:hAnsi="仿宋" w:eastAsia="仿宋"/>
          <w:b w:val="0"/>
          <w:bCs w:val="0"/>
          <w:color w:val="000000"/>
          <w:sz w:val="30"/>
          <w:szCs w:val="30"/>
          <w:lang w:eastAsia="zh-CN"/>
        </w:rPr>
        <w:t>学校教学评价关注课堂教学多，关注实习实践少，对学生实习、实训环节的常态化监控相对薄弱，对实习实训基地的建设成效缺乏评估，对学生学习的督导评价不足。学院、专业层面对各教学环节的常态化监控和自我评估需要加强。</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4.</w:t>
      </w:r>
      <w:r>
        <w:rPr>
          <w:rFonts w:hint="eastAsia" w:ascii="仿宋" w:hAnsi="仿宋" w:eastAsia="仿宋"/>
          <w:b w:val="0"/>
          <w:bCs w:val="0"/>
          <w:color w:val="000000"/>
          <w:sz w:val="30"/>
          <w:szCs w:val="30"/>
          <w:lang w:eastAsia="zh-CN"/>
        </w:rPr>
        <w:t>通过检查试卷和毕业论文（设计），发现试卷命题、阅卷以及毕业论文（设计）指导仍然存在不规范现象。</w:t>
      </w:r>
      <w:r>
        <w:rPr>
          <w:rFonts w:hint="eastAsia" w:ascii="仿宋" w:hAnsi="仿宋" w:eastAsia="仿宋"/>
          <w:b w:val="0"/>
          <w:bCs w:val="0"/>
          <w:color w:val="000000"/>
          <w:sz w:val="30"/>
          <w:szCs w:val="3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（六）培养质量</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1.</w:t>
      </w:r>
      <w:r>
        <w:rPr>
          <w:rFonts w:hint="eastAsia" w:ascii="仿宋" w:hAnsi="仿宋" w:eastAsia="仿宋"/>
          <w:b w:val="0"/>
          <w:bCs w:val="0"/>
          <w:color w:val="000000"/>
          <w:sz w:val="30"/>
          <w:szCs w:val="30"/>
          <w:lang w:eastAsia="zh-CN"/>
        </w:rPr>
        <w:t>学院和专业层面的毕业生跟踪调查机制还不完善，与用人单位及时沟通、全面深入了解毕业生情况方面有待加强。</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2.</w:t>
      </w:r>
      <w:r>
        <w:rPr>
          <w:rFonts w:hint="eastAsia" w:ascii="仿宋" w:hAnsi="仿宋" w:eastAsia="仿宋"/>
          <w:b w:val="0"/>
          <w:bCs w:val="0"/>
          <w:color w:val="000000"/>
          <w:sz w:val="30"/>
          <w:szCs w:val="30"/>
          <w:lang w:eastAsia="zh-CN"/>
        </w:rPr>
        <w:t>高考招生改革和“双一流”高校建设背景下，对吸引优秀生源的重要性认识仍显不足，招生宣传力度还有待加强。</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3.</w:t>
      </w:r>
      <w:r>
        <w:rPr>
          <w:rFonts w:hint="eastAsia" w:ascii="仿宋" w:hAnsi="仿宋" w:eastAsia="仿宋"/>
          <w:b w:val="0"/>
          <w:bCs w:val="0"/>
          <w:color w:val="000000"/>
          <w:sz w:val="30"/>
          <w:szCs w:val="30"/>
          <w:lang w:eastAsia="zh-CN"/>
        </w:rPr>
        <w:t>毕业生考取国内外一流高校研究生的人数少。</w:t>
      </w:r>
      <w:r>
        <w:rPr>
          <w:rFonts w:hint="eastAsia" w:ascii="仿宋" w:hAnsi="仿宋" w:eastAsia="仿宋"/>
          <w:b w:val="0"/>
          <w:bCs w:val="0"/>
          <w:color w:val="00000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b w:val="0"/>
          <w:bCs w:val="0"/>
          <w:color w:val="000000"/>
          <w:sz w:val="30"/>
          <w:szCs w:val="30"/>
          <w:lang w:eastAsia="zh-CN"/>
        </w:rPr>
        <w:t>参评的</w:t>
      </w:r>
      <w:r>
        <w:rPr>
          <w:rFonts w:hint="eastAsia" w:ascii="仿宋" w:hAnsi="仿宋" w:eastAsia="仿宋"/>
          <w:b w:val="0"/>
          <w:bCs w:val="0"/>
          <w:color w:val="000000"/>
          <w:sz w:val="30"/>
          <w:szCs w:val="30"/>
          <w:lang w:val="en-US" w:eastAsia="zh-CN"/>
        </w:rPr>
        <w:t>3个</w:t>
      </w:r>
      <w:r>
        <w:rPr>
          <w:rFonts w:hint="eastAsia" w:ascii="仿宋" w:hAnsi="仿宋" w:eastAsia="仿宋"/>
          <w:b w:val="0"/>
          <w:bCs w:val="0"/>
          <w:color w:val="000000"/>
          <w:sz w:val="30"/>
          <w:szCs w:val="30"/>
          <w:lang w:eastAsia="zh-CN"/>
        </w:rPr>
        <w:t>医科专业虽评价指标有所不同，但存在的问题与文理工科专业类似，如：</w:t>
      </w:r>
      <w:r>
        <w:rPr>
          <w:rFonts w:hint="eastAsia" w:ascii="仿宋" w:hAnsi="仿宋" w:eastAsia="仿宋" w:cs="仿宋"/>
          <w:color w:val="000000"/>
          <w:sz w:val="28"/>
          <w:szCs w:val="28"/>
        </w:rPr>
        <w:t>尚未全面建立人才培养质量定期评价和反馈调整机制；人才培养方案修订过程中行业专家、学生家长等参与度不足</w:t>
      </w:r>
      <w:r>
        <w:rPr>
          <w:rFonts w:hint="eastAsia" w:ascii="仿宋" w:hAnsi="仿宋" w:eastAsia="仿宋" w:cs="仿宋"/>
          <w:color w:val="000000"/>
          <w:sz w:val="28"/>
          <w:szCs w:val="28"/>
          <w:lang w:eastAsia="zh-CN"/>
        </w:rPr>
        <w:t>；有影响力的学术带头人、拔尖创新人才和教学名师缺乏，教研教改薄弱，高水平教学成果少；</w:t>
      </w:r>
      <w:r>
        <w:rPr>
          <w:rFonts w:hint="eastAsia" w:ascii="仿宋" w:hAnsi="仿宋" w:eastAsia="仿宋" w:cs="仿宋"/>
          <w:color w:val="000000"/>
          <w:sz w:val="28"/>
          <w:szCs w:val="28"/>
        </w:rPr>
        <w:t>教学质量检查与指导、措施与效果粘合度不高</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院督导工作效力发挥不充分</w:t>
      </w:r>
      <w:r>
        <w:rPr>
          <w:rFonts w:hint="eastAsia" w:ascii="仿宋" w:hAnsi="仿宋" w:eastAsia="仿宋" w:cs="仿宋"/>
          <w:color w:val="000000"/>
          <w:sz w:val="28"/>
          <w:szCs w:val="28"/>
          <w:lang w:eastAsia="zh-CN"/>
        </w:rPr>
        <w:t>等。除上述问题外，作为医科类专业，还存在发挥综合性大学优势不足、课程纵向横向综合改革研究不足、以问题为中心的探索式互动式教学未充分开展、课程考核方法研究不足等问题。</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firstLine="602" w:firstLineChars="200"/>
        <w:jc w:val="left"/>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整改建议</w:t>
      </w:r>
    </w:p>
    <w:p>
      <w:pPr>
        <w:keepNext w:val="0"/>
        <w:keepLines w:val="0"/>
        <w:pageBreakBefore w:val="0"/>
        <w:widowControl/>
        <w:numPr>
          <w:numId w:val="0"/>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eastAsia="zh-CN"/>
        </w:rPr>
        <w:t>针</w:t>
      </w:r>
      <w:r>
        <w:rPr>
          <w:rFonts w:hint="eastAsia" w:ascii="仿宋" w:hAnsi="仿宋" w:eastAsia="仿宋"/>
          <w:b w:val="0"/>
          <w:bCs w:val="0"/>
          <w:color w:val="000000"/>
          <w:sz w:val="30"/>
          <w:szCs w:val="30"/>
          <w:lang w:eastAsia="zh-CN"/>
        </w:rPr>
        <w:t>对上述问题，专家组重点提出如下针对性整改建议：</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（一）培养目标和毕业要求方面</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1.学校进一步健全人才培养方案定期修订评价制度，尤其进一步健全人才培养目标合理性定期评价制度。</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2.</w:t>
      </w:r>
      <w:r>
        <w:rPr>
          <w:rFonts w:hint="eastAsia" w:ascii="仿宋" w:hAnsi="仿宋" w:eastAsia="仿宋"/>
          <w:b w:val="0"/>
          <w:bCs w:val="0"/>
          <w:color w:val="000000"/>
          <w:sz w:val="30"/>
          <w:szCs w:val="30"/>
          <w:lang w:eastAsia="zh-CN"/>
        </w:rPr>
        <w:t>各专业修订人才培养方案时，既要考虑学科专业特点，又要关注服务地方经济社会发展、人才需求变化等因素；修订人才培养方案充分吸纳教师、在校生、毕业生、用人单位等相关利益方参与，广泛听取意见建议。</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val="en-US" w:eastAsia="zh-CN"/>
        </w:rPr>
        <w:t xml:space="preserve">  </w:t>
      </w:r>
      <w:r>
        <w:rPr>
          <w:rFonts w:hint="eastAsia" w:ascii="仿宋" w:hAnsi="仿宋" w:eastAsia="仿宋"/>
          <w:b/>
          <w:bCs/>
          <w:color w:val="000000"/>
          <w:sz w:val="30"/>
          <w:szCs w:val="30"/>
          <w:lang w:eastAsia="zh-CN"/>
        </w:rPr>
        <w:t>（二）教师队伍方面</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1.学校进一步加大</w:t>
      </w:r>
      <w:r>
        <w:rPr>
          <w:rFonts w:hint="eastAsia" w:ascii="仿宋" w:hAnsi="仿宋" w:eastAsia="仿宋"/>
          <w:b w:val="0"/>
          <w:bCs w:val="0"/>
          <w:color w:val="000000"/>
          <w:sz w:val="30"/>
          <w:szCs w:val="30"/>
          <w:lang w:eastAsia="zh-CN"/>
        </w:rPr>
        <w:t>对急需专业引进人才的政策倾斜</w:t>
      </w:r>
      <w:r>
        <w:rPr>
          <w:rFonts w:hint="eastAsia" w:ascii="仿宋" w:hAnsi="仿宋" w:eastAsia="仿宋"/>
          <w:b w:val="0"/>
          <w:bCs w:val="0"/>
          <w:color w:val="000000"/>
          <w:sz w:val="30"/>
          <w:szCs w:val="30"/>
          <w:lang w:val="en-US" w:eastAsia="zh-CN"/>
        </w:rPr>
        <w:t>，对于教师数量严重不足而又招聘困难的专业采取特殊政策，建立优秀研究生校院联合选聘和考核机制，选聘综合素质高、发展潜力大的优秀硕士生进入教师队伍，并制定专门计划鼓励和支持其攻读博士学位。</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2.学校进一步</w:t>
      </w:r>
      <w:r>
        <w:rPr>
          <w:rFonts w:hint="eastAsia" w:ascii="仿宋" w:hAnsi="仿宋" w:eastAsia="仿宋"/>
          <w:b w:val="0"/>
          <w:bCs w:val="0"/>
          <w:color w:val="000000"/>
          <w:sz w:val="30"/>
          <w:szCs w:val="30"/>
          <w:lang w:eastAsia="zh-CN"/>
        </w:rPr>
        <w:t>加强新入职教师校本培训，</w:t>
      </w:r>
      <w:r>
        <w:rPr>
          <w:rFonts w:hint="eastAsia" w:ascii="仿宋" w:hAnsi="仿宋" w:eastAsia="仿宋"/>
          <w:b w:val="0"/>
          <w:bCs w:val="0"/>
          <w:color w:val="000000"/>
          <w:sz w:val="30"/>
          <w:szCs w:val="30"/>
          <w:lang w:val="en-US" w:eastAsia="zh-CN"/>
        </w:rPr>
        <w:t>采取</w:t>
      </w:r>
      <w:r>
        <w:rPr>
          <w:rFonts w:hint="eastAsia" w:ascii="仿宋" w:hAnsi="仿宋" w:eastAsia="仿宋"/>
          <w:b w:val="0"/>
          <w:bCs w:val="0"/>
          <w:color w:val="000000"/>
          <w:sz w:val="30"/>
          <w:szCs w:val="30"/>
          <w:lang w:eastAsia="zh-CN"/>
        </w:rPr>
        <w:t>种形式加强青年教师培养，一是为青年教师提供更多的外出学习、进修、交流的机会，二是通过传帮带制度，推动骨干教师对青年教师业务上的经验传授和指导，三是结合学院教学观摩、听课评议，鼓励督促青年教师提升自身教学能力和水平。</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3.学校</w:t>
      </w:r>
      <w:r>
        <w:rPr>
          <w:rFonts w:hint="eastAsia" w:ascii="仿宋" w:hAnsi="仿宋" w:eastAsia="仿宋"/>
          <w:b w:val="0"/>
          <w:bCs w:val="0"/>
          <w:color w:val="000000"/>
          <w:sz w:val="30"/>
          <w:szCs w:val="30"/>
          <w:lang w:eastAsia="zh-CN"/>
        </w:rPr>
        <w:t>积极选派骨干教师参加海内外业务培训和研修活动，积极探索更为多元的国际化合作，不断提高教师的国际化水平。制定和完善青年教师到相关实务部门挂职锻炼制度，弥补教师队伍缺乏实践和行业企业背景的不足，促进本科教学理论与实践相结合，加强对学生实践能力的培养。</w:t>
      </w:r>
      <w:r>
        <w:rPr>
          <w:rFonts w:hint="eastAsia" w:ascii="仿宋" w:hAnsi="仿宋" w:eastAsia="仿宋"/>
          <w:b w:val="0"/>
          <w:bCs w:val="0"/>
          <w:color w:val="000000"/>
          <w:sz w:val="30"/>
          <w:szCs w:val="3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4.学校</w:t>
      </w:r>
      <w:r>
        <w:rPr>
          <w:rFonts w:hint="eastAsia" w:ascii="仿宋" w:hAnsi="仿宋" w:eastAsia="仿宋"/>
          <w:b w:val="0"/>
          <w:bCs w:val="0"/>
          <w:color w:val="000000"/>
          <w:sz w:val="30"/>
          <w:szCs w:val="30"/>
          <w:lang w:eastAsia="zh-CN"/>
        </w:rPr>
        <w:t>以专项支持方式，以中青年教师和专家为骨干，实施教学团队项目制建设。校院两级鼓励教师围绕落实立德树人根本任务，制定个人发展规划，以多种方式更新知识结构，提高专业技能和教育教学水平。</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5.</w:t>
      </w:r>
      <w:r>
        <w:rPr>
          <w:rFonts w:hint="eastAsia" w:ascii="仿宋" w:hAnsi="仿宋" w:eastAsia="仿宋"/>
          <w:b w:val="0"/>
          <w:bCs w:val="0"/>
          <w:color w:val="000000"/>
          <w:sz w:val="30"/>
          <w:szCs w:val="30"/>
          <w:lang w:eastAsia="zh-CN"/>
        </w:rPr>
        <w:t>学校建立并实施必修课助教制度，选聘高年级研究生作为助教，负责为学生批改、讲评作业和答疑，给予一定津贴补助，以提高课堂教学效果、减轻任课教师负担、为教师成长提供空间。</w:t>
      </w:r>
      <w:r>
        <w:rPr>
          <w:rFonts w:hint="eastAsia" w:ascii="仿宋" w:hAnsi="仿宋" w:eastAsia="仿宋"/>
          <w:b w:val="0"/>
          <w:bCs w:val="0"/>
          <w:color w:val="000000"/>
          <w:sz w:val="30"/>
          <w:szCs w:val="3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（三）教学建设方面</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1.各专业立足自身特色，以专业核心课程为渠道，与国内一流专业比照，进一步调整修订人才培养方案，不断优化课程设置体系，实现课程体系对培养目标和毕业要求的强力支撑。</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2.学校和各教学单位深入挖掘现有教师的潜力和积极性，积极推广慕课、翻转课堂、智慧教室等教学形式，促进教师教学与现代教育技术的深度融合，并逐渐完善上述形式课程的评价机制。</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textAlignment w:val="auto"/>
        <w:rPr>
          <w:rFonts w:hint="default"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3.学校和各教学单位合力，通过加快校内实验室建设、打造校外实习基地品牌、聘请校外专家到校进行实验实训教学、聘请社会实务部门专家为学生举办讲座或报告等多种形式，不断加强实践教学、提高实践教学水平。</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（四）支持条件方面</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1.学校</w:t>
      </w:r>
      <w:r>
        <w:rPr>
          <w:rFonts w:hint="eastAsia" w:ascii="仿宋" w:hAnsi="仿宋" w:eastAsia="仿宋"/>
          <w:b w:val="0"/>
          <w:bCs w:val="0"/>
          <w:color w:val="000000"/>
          <w:sz w:val="30"/>
          <w:szCs w:val="30"/>
          <w:lang w:eastAsia="zh-CN"/>
        </w:rPr>
        <w:t>进一步加大人才物力财力对本科教学的投入，保障和改善教师的办公场所，营造良好的教师教研和师生沟通环境。重点加大对专业实习和社会实践的经费支持力度，保证实习实践效果。健全资料室、实验室面向所有本科生开放的制度。</w:t>
      </w:r>
      <w:r>
        <w:rPr>
          <w:rFonts w:hint="eastAsia" w:ascii="仿宋" w:hAnsi="仿宋" w:eastAsia="仿宋"/>
          <w:b w:val="0"/>
          <w:bCs w:val="0"/>
          <w:color w:val="000000"/>
          <w:sz w:val="30"/>
          <w:szCs w:val="3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2.学校相关部门</w:t>
      </w:r>
      <w:r>
        <w:rPr>
          <w:rFonts w:hint="eastAsia" w:ascii="仿宋" w:hAnsi="仿宋" w:eastAsia="仿宋"/>
          <w:b w:val="0"/>
          <w:bCs w:val="0"/>
          <w:color w:val="000000"/>
          <w:sz w:val="30"/>
          <w:szCs w:val="30"/>
          <w:lang w:eastAsia="zh-CN"/>
        </w:rPr>
        <w:t>充分调研、了解需求，整合现有实验场所和设施，保障设备有序更新、充分利用及各专业实验教学顺利开展，避免出现大型实验仪器因没有地方安装而废弃等资源浪费现象。</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3.学校和各教学单位一起，</w:t>
      </w:r>
      <w:r>
        <w:rPr>
          <w:rFonts w:hint="eastAsia" w:ascii="仿宋" w:hAnsi="仿宋" w:eastAsia="仿宋"/>
          <w:b w:val="0"/>
          <w:bCs w:val="0"/>
          <w:color w:val="000000"/>
          <w:sz w:val="30"/>
          <w:szCs w:val="30"/>
          <w:lang w:eastAsia="zh-CN"/>
        </w:rPr>
        <w:t>进一步完善实习基地制度建设，建设数量充足的实习基地，不断健全实习基地运行管理机制，改变“重签约轻建设和管理”的现象，加强学生实习监管，提高基地利用效果。</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（五）质量监控方面</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1.各教学单位建立</w:t>
      </w:r>
      <w:r>
        <w:rPr>
          <w:rFonts w:hint="eastAsia" w:ascii="仿宋" w:hAnsi="仿宋" w:eastAsia="仿宋"/>
          <w:b w:val="0"/>
          <w:bCs w:val="0"/>
          <w:color w:val="000000"/>
          <w:sz w:val="30"/>
          <w:szCs w:val="30"/>
          <w:lang w:eastAsia="zh-CN"/>
        </w:rPr>
        <w:t>健全院级自我评估及质量监控制度，建设和完善院级层面教学基本状态数据库，建设具有专业特色的教学质量评价体系。</w:t>
      </w:r>
      <w:r>
        <w:rPr>
          <w:rFonts w:hint="eastAsia" w:ascii="仿宋" w:hAnsi="仿宋" w:eastAsia="仿宋"/>
          <w:b w:val="0"/>
          <w:bCs w:val="0"/>
          <w:color w:val="000000"/>
          <w:sz w:val="30"/>
          <w:szCs w:val="30"/>
          <w:lang w:val="en-US" w:eastAsia="zh-CN"/>
        </w:rPr>
        <w:t>校院两级进一步加强课程考核、毕业论文等教学环节的管理和监控。</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2.学校建立明确可持续的激励机制，给予系主任、课程组长、院级督导必要的津贴和政策支持，充分发挥上述在质量监控中的作用。各教学单位切实做好院级督导选拔工作，选择教学经验丰富、教学水平高、教学效果好且责任心强的优秀教师担任学院督导，以保证教学督导工作的权威性和有效性。</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3.学校进一步明确和落实教师教学岗位责任制奖惩制度，建议在原有年终考核和职称评定制度基础上，将教师承担教学任务和教学质量情况纳入年终考核和职称评定，进一步明确教师在教学质量改进中的职责。</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 xml:space="preserve">3.学校相关部门将青年课堂教学大奖赛、教学名师评审等教学质量等各类教学竞赛和评优评奖工作制度化、常规化。进一步完善教师互评、学生评教制度，重点落实教师互评和学生评教环节，避免流于形式，真正发挥评教作用。 </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default"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val="en-US" w:eastAsia="zh-CN"/>
        </w:rPr>
        <w:t xml:space="preserve">4.进一步畅通学院教学质量信息反馈渠道，改变以往淡化反馈和反馈程序不规范的状况，使各类评估、监控、质量调查中的问题反馈制度化、常规化。如召开教学质量信息反馈会，对日常教学评价中发现的问题及时通报，提出实质性的改进措施和建议，并跟踪其后续落实情况。 </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2" w:firstLineChars="200"/>
        <w:textAlignment w:val="auto"/>
        <w:rPr>
          <w:rFonts w:hint="eastAsia" w:ascii="仿宋" w:hAnsi="仿宋" w:eastAsia="仿宋"/>
          <w:b/>
          <w:bCs/>
          <w:color w:val="000000"/>
          <w:sz w:val="30"/>
          <w:szCs w:val="30"/>
          <w:lang w:eastAsia="zh-CN"/>
        </w:rPr>
      </w:pPr>
      <w:r>
        <w:rPr>
          <w:rFonts w:hint="eastAsia" w:ascii="仿宋" w:hAnsi="仿宋" w:eastAsia="仿宋"/>
          <w:b/>
          <w:bCs/>
          <w:color w:val="000000"/>
          <w:sz w:val="30"/>
          <w:szCs w:val="30"/>
          <w:lang w:eastAsia="zh-CN"/>
        </w:rPr>
        <w:t>（六）培养质量方面</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eastAsia="zh-CN"/>
        </w:rPr>
        <w:t>1.学校招生主管部门和各学院、专业提高认识，加大投入，充分利用各种媒体和招生咨询等专门场合，发挥优秀生源基地优势，加强专业特点和优势宣传，让更多的学生和家长了解专业发展空间，提高社会对专业的认知度和第一志愿录取率。</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eastAsia="zh-CN"/>
        </w:rPr>
        <w:t>2.鉴于考研录取率和考取院校已成为学生和家长选择专业的重要依据，建议加强对考研学生的针对性引导，帮助他们提前做好考研规划和课程准备；对研究生入学考试的课程，选派有经验、教学水平高的优秀教师讲授，加强针对性教学和辅导，以有效提高考研效果。</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eastAsia="zh-CN"/>
        </w:rPr>
        <w:t>3.建立激励机制引导师生参与各种学科竞赛，提高在全国知名大赛的成绩，提升学生培养质量和学校知名度。一是学校对学生参赛提供必要的经费支持；二是从学校和学院层面组建大学生竞赛教师辅导组织，形成团队合力；三是对参赛学生和辅导教师有明确的激励机制，提高参赛、获奖在学生评奖和教师评定职称中的因子比重。</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4.</w:t>
      </w:r>
      <w:r>
        <w:rPr>
          <w:rFonts w:hint="eastAsia" w:ascii="仿宋" w:hAnsi="仿宋" w:eastAsia="仿宋"/>
          <w:b w:val="0"/>
          <w:bCs w:val="0"/>
          <w:color w:val="000000"/>
          <w:sz w:val="30"/>
          <w:szCs w:val="30"/>
          <w:lang w:eastAsia="zh-CN"/>
        </w:rPr>
        <w:t>校内教师辅导和校外专家指导结合，集体辅导与个别咨询结合，切实加强对学生的职业生涯规划指导，辅之以专门性针对性就业调研，帮助学生准确把握个人志向、自身条件和社会需求之间的关系，并树立正确的择业就业观念。</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eastAsia" w:ascii="仿宋" w:hAnsi="仿宋" w:eastAsia="仿宋"/>
          <w:b w:val="0"/>
          <w:bCs w:val="0"/>
          <w:color w:val="000000"/>
          <w:sz w:val="30"/>
          <w:szCs w:val="30"/>
          <w:lang w:eastAsia="zh-CN"/>
        </w:rPr>
      </w:pPr>
      <w:r>
        <w:rPr>
          <w:rFonts w:hint="eastAsia" w:ascii="仿宋" w:hAnsi="仿宋" w:eastAsia="仿宋"/>
          <w:b w:val="0"/>
          <w:bCs w:val="0"/>
          <w:color w:val="000000"/>
          <w:sz w:val="30"/>
          <w:szCs w:val="30"/>
          <w:lang w:val="en-US" w:eastAsia="zh-CN"/>
        </w:rPr>
        <w:t>5.</w:t>
      </w:r>
      <w:r>
        <w:rPr>
          <w:rFonts w:hint="eastAsia" w:ascii="仿宋" w:hAnsi="仿宋" w:eastAsia="仿宋"/>
          <w:b w:val="0"/>
          <w:bCs w:val="0"/>
          <w:color w:val="000000"/>
          <w:sz w:val="30"/>
          <w:szCs w:val="30"/>
          <w:lang w:eastAsia="zh-CN"/>
        </w:rPr>
        <w:t>重视毕业生调查制度的建立实施，构建有效的毕业生追踪体系以了解学生毕业后的情况，获取学生毕业后在社会特别是专业领域的发展情况、学生满意度调查情况、用人单位对毕业生的评价情况等，建议以辅导员为主要搜集者。</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0" w:leftChars="0" w:firstLine="600" w:firstLineChars="200"/>
        <w:textAlignment w:val="auto"/>
        <w:rPr>
          <w:rFonts w:hint="default" w:ascii="仿宋" w:hAnsi="仿宋" w:eastAsia="仿宋"/>
          <w:b w:val="0"/>
          <w:bCs w:val="0"/>
          <w:color w:val="000000"/>
          <w:sz w:val="30"/>
          <w:szCs w:val="30"/>
          <w:lang w:val="en-US" w:eastAsia="zh-CN"/>
        </w:rPr>
      </w:pPr>
      <w:r>
        <w:rPr>
          <w:rFonts w:hint="eastAsia" w:ascii="仿宋" w:hAnsi="仿宋" w:eastAsia="仿宋"/>
          <w:b w:val="0"/>
          <w:bCs w:val="0"/>
          <w:color w:val="000000"/>
          <w:sz w:val="30"/>
          <w:szCs w:val="30"/>
          <w:lang w:eastAsia="zh-CN"/>
        </w:rPr>
        <w:t>除上述建议外，针对医科类专业专家还提出了如下建议：进一步强化形成性评价，推动形成性评价覆盖更多课程；重视和推进课程考核方法研究，开展成绩评测方法探讨；努力争取上级主管部门在政策、项目、人才、经费等方面的支持；进一步推动体制机制改革，形成“全员一盘棋、全员谋发展”的良好局面；加大教学、科研和医疗服务改革，适应国家医药卫生服务体系改革和医学科学发展需要等。</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48D96"/>
    <w:multiLevelType w:val="singleLevel"/>
    <w:tmpl w:val="28348D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C288F"/>
    <w:rsid w:val="00156869"/>
    <w:rsid w:val="00323B43"/>
    <w:rsid w:val="0035063D"/>
    <w:rsid w:val="00356690"/>
    <w:rsid w:val="003D37D8"/>
    <w:rsid w:val="00426133"/>
    <w:rsid w:val="004358AB"/>
    <w:rsid w:val="00467D2D"/>
    <w:rsid w:val="004D449D"/>
    <w:rsid w:val="0062314E"/>
    <w:rsid w:val="006F1977"/>
    <w:rsid w:val="00876484"/>
    <w:rsid w:val="008B7726"/>
    <w:rsid w:val="008D4328"/>
    <w:rsid w:val="00A674C8"/>
    <w:rsid w:val="00C92774"/>
    <w:rsid w:val="00D31D50"/>
    <w:rsid w:val="00E915C8"/>
    <w:rsid w:val="00ED17DE"/>
    <w:rsid w:val="00FF2DE5"/>
    <w:rsid w:val="07AA5B59"/>
    <w:rsid w:val="19281DB0"/>
    <w:rsid w:val="1B9109E9"/>
    <w:rsid w:val="20B72F37"/>
    <w:rsid w:val="22C35C9B"/>
    <w:rsid w:val="2BBD0114"/>
    <w:rsid w:val="329826A5"/>
    <w:rsid w:val="345444B2"/>
    <w:rsid w:val="46BE46DE"/>
    <w:rsid w:val="4D0F4554"/>
    <w:rsid w:val="5ED9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customStyle="1" w:styleId="8">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172</Words>
  <Characters>981</Characters>
  <Lines>8</Lines>
  <Paragraphs>2</Paragraphs>
  <TotalTime>2</TotalTime>
  <ScaleCrop>false</ScaleCrop>
  <LinksUpToDate>false</LinksUpToDate>
  <CharactersWithSpaces>1151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2020-01-06T01:47:52Z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