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B02B71">
        <w:rPr>
          <w:rFonts w:ascii="Arial" w:eastAsia="宋体" w:hAnsi="Arial" w:cs="Arial" w:hint="eastAsia"/>
          <w:b/>
          <w:bCs/>
          <w:color w:val="333333"/>
          <w:kern w:val="0"/>
          <w:sz w:val="32"/>
          <w:szCs w:val="32"/>
        </w:rPr>
        <w:t>2</w:t>
      </w:r>
      <w:r w:rsidR="00E84AFC">
        <w:rPr>
          <w:rFonts w:ascii="Arial" w:eastAsia="宋体" w:hAnsi="Arial" w:cs="Arial"/>
          <w:b/>
          <w:bCs/>
          <w:color w:val="333333"/>
          <w:kern w:val="0"/>
          <w:sz w:val="32"/>
          <w:szCs w:val="32"/>
        </w:rPr>
        <w:t>6</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445E2A" w:rsidP="008E3275">
      <w:pPr>
        <w:widowControl/>
        <w:shd w:val="clear" w:color="auto" w:fill="FFFFFF"/>
        <w:spacing w:before="120" w:line="320" w:lineRule="atLeast"/>
        <w:jc w:val="center"/>
        <w:rPr>
          <w:rFonts w:ascii="宋体" w:eastAsia="宋体" w:hAnsi="宋体" w:cs="宋体"/>
          <w:color w:val="333333"/>
          <w:kern w:val="0"/>
          <w:sz w:val="24"/>
          <w:szCs w:val="24"/>
        </w:rPr>
      </w:pPr>
      <w:r w:rsidRPr="00445E2A">
        <w:rPr>
          <w:rFonts w:ascii="宋体" w:eastAsia="宋体" w:hAnsi="宋体" w:cs="宋体" w:hint="eastAsia"/>
          <w:color w:val="555555"/>
          <w:kern w:val="0"/>
          <w:sz w:val="24"/>
          <w:szCs w:val="24"/>
        </w:rPr>
        <w:t>教育教学质量评估与教师发展中心</w:t>
      </w:r>
      <w:r w:rsidR="008E3275" w:rsidRPr="008E3275">
        <w:rPr>
          <w:rFonts w:ascii="宋体" w:eastAsia="宋体" w:hAnsi="宋体" w:cs="宋体" w:hint="eastAsia"/>
          <w:color w:val="555555"/>
          <w:kern w:val="0"/>
          <w:sz w:val="24"/>
          <w:szCs w:val="24"/>
        </w:rPr>
        <w:t>   （第</w:t>
      </w:r>
      <w:r w:rsidR="00B02B71">
        <w:rPr>
          <w:rFonts w:ascii="宋体" w:eastAsia="宋体" w:hAnsi="宋体" w:cs="宋体" w:hint="eastAsia"/>
          <w:color w:val="555555"/>
          <w:kern w:val="0"/>
          <w:sz w:val="24"/>
          <w:szCs w:val="24"/>
        </w:rPr>
        <w:t>二</w:t>
      </w:r>
      <w:r w:rsidR="008E3275" w:rsidRPr="008E3275">
        <w:rPr>
          <w:rFonts w:ascii="宋体" w:eastAsia="宋体" w:hAnsi="宋体" w:cs="宋体" w:hint="eastAsia"/>
          <w:color w:val="555555"/>
          <w:kern w:val="0"/>
          <w:sz w:val="24"/>
          <w:szCs w:val="24"/>
        </w:rPr>
        <w:t>十</w:t>
      </w:r>
      <w:r w:rsidR="00E84AFC">
        <w:rPr>
          <w:rFonts w:ascii="宋体" w:eastAsia="宋体" w:hAnsi="宋体" w:cs="宋体" w:hint="eastAsia"/>
          <w:color w:val="555555"/>
          <w:kern w:val="0"/>
          <w:sz w:val="24"/>
          <w:szCs w:val="24"/>
        </w:rPr>
        <w:t>六</w:t>
      </w:r>
      <w:r w:rsidR="008E3275" w:rsidRPr="008E3275">
        <w:rPr>
          <w:rFonts w:ascii="宋体" w:eastAsia="宋体" w:hAnsi="宋体" w:cs="宋体" w:hint="eastAsia"/>
          <w:color w:val="555555"/>
          <w:kern w:val="0"/>
          <w:sz w:val="24"/>
          <w:szCs w:val="24"/>
        </w:rPr>
        <w:t>期）  </w:t>
      </w:r>
      <w:r w:rsidR="008E3275">
        <w:rPr>
          <w:rFonts w:ascii="宋体" w:eastAsia="宋体" w:hAnsi="宋体" w:cs="宋体" w:hint="eastAsia"/>
          <w:color w:val="555555"/>
          <w:kern w:val="0"/>
          <w:sz w:val="24"/>
          <w:szCs w:val="24"/>
        </w:rPr>
        <w:t xml:space="preserve"> </w:t>
      </w:r>
      <w:r w:rsidR="008E3275">
        <w:rPr>
          <w:rFonts w:ascii="宋体" w:eastAsia="宋体" w:hAnsi="宋体" w:cs="宋体" w:hint="eastAsia"/>
          <w:b/>
          <w:bCs/>
          <w:color w:val="555555"/>
          <w:kern w:val="0"/>
          <w:sz w:val="24"/>
          <w:szCs w:val="24"/>
        </w:rPr>
        <w:t>2</w:t>
      </w:r>
      <w:r w:rsidR="00E84AFC">
        <w:rPr>
          <w:rFonts w:ascii="宋体" w:eastAsia="宋体" w:hAnsi="宋体" w:cs="宋体" w:hint="eastAsia"/>
          <w:b/>
          <w:bCs/>
          <w:color w:val="555555"/>
          <w:kern w:val="0"/>
          <w:sz w:val="24"/>
          <w:szCs w:val="24"/>
        </w:rPr>
        <w:t>0</w:t>
      </w:r>
      <w:r w:rsidR="00E84AFC">
        <w:rPr>
          <w:rFonts w:ascii="宋体" w:eastAsia="宋体" w:hAnsi="宋体" w:cs="宋体"/>
          <w:b/>
          <w:bCs/>
          <w:color w:val="555555"/>
          <w:kern w:val="0"/>
          <w:sz w:val="24"/>
          <w:szCs w:val="24"/>
        </w:rPr>
        <w:t>20</w:t>
      </w:r>
      <w:r w:rsidR="008E3275" w:rsidRPr="008E3275">
        <w:rPr>
          <w:rFonts w:ascii="宋体" w:eastAsia="宋体" w:hAnsi="宋体" w:cs="宋体" w:hint="eastAsia"/>
          <w:b/>
          <w:bCs/>
          <w:color w:val="555555"/>
          <w:kern w:val="0"/>
          <w:sz w:val="24"/>
          <w:szCs w:val="24"/>
        </w:rPr>
        <w:t>年</w:t>
      </w:r>
      <w:r w:rsidR="002E55FF">
        <w:rPr>
          <w:rFonts w:ascii="宋体" w:eastAsia="宋体" w:hAnsi="宋体" w:cs="宋体" w:hint="eastAsia"/>
          <w:b/>
          <w:bCs/>
          <w:color w:val="555555"/>
          <w:kern w:val="0"/>
          <w:sz w:val="24"/>
          <w:szCs w:val="24"/>
        </w:rPr>
        <w:t>1</w:t>
      </w:r>
      <w:r w:rsidR="008E3275" w:rsidRPr="008E3275">
        <w:rPr>
          <w:rFonts w:ascii="宋体" w:eastAsia="宋体" w:hAnsi="宋体" w:cs="宋体" w:hint="eastAsia"/>
          <w:b/>
          <w:bCs/>
          <w:color w:val="555555"/>
          <w:kern w:val="0"/>
          <w:sz w:val="24"/>
          <w:szCs w:val="24"/>
        </w:rPr>
        <w:t>月</w:t>
      </w:r>
      <w:r w:rsidR="00E84AFC">
        <w:rPr>
          <w:rFonts w:ascii="宋体" w:eastAsia="宋体" w:hAnsi="宋体" w:cs="宋体"/>
          <w:b/>
          <w:bCs/>
          <w:color w:val="555555"/>
          <w:kern w:val="0"/>
          <w:sz w:val="24"/>
          <w:szCs w:val="24"/>
        </w:rPr>
        <w:t>12</w:t>
      </w:r>
      <w:r w:rsidR="008E3275"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4371E7">
      <w:pPr>
        <w:widowControl/>
        <w:shd w:val="clear" w:color="auto" w:fill="FFFFFF"/>
        <w:spacing w:beforeLines="50" w:before="156" w:afterLines="50" w:after="156"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E84AFC" w:rsidRPr="00844757" w:rsidRDefault="00E61096" w:rsidP="00E61096">
      <w:pPr>
        <w:snapToGrid w:val="0"/>
        <w:spacing w:beforeLines="50" w:before="156" w:afterLines="50" w:after="156" w:line="360" w:lineRule="auto"/>
        <w:ind w:firstLineChars="200" w:firstLine="482"/>
        <w:rPr>
          <w:rFonts w:ascii="仿宋" w:eastAsia="仿宋" w:hAnsi="仿宋"/>
          <w:b/>
          <w:bCs/>
          <w:color w:val="333333"/>
          <w:sz w:val="24"/>
          <w:szCs w:val="24"/>
        </w:rPr>
      </w:pPr>
      <w:r w:rsidRPr="00844757">
        <w:rPr>
          <w:rFonts w:ascii="仿宋" w:eastAsia="仿宋" w:hAnsi="仿宋" w:hint="eastAsia"/>
          <w:b/>
          <w:bCs/>
          <w:color w:val="333333"/>
          <w:sz w:val="24"/>
          <w:szCs w:val="24"/>
        </w:rPr>
        <w:t>★</w:t>
      </w:r>
      <w:r w:rsidR="00E84AFC" w:rsidRPr="00844757">
        <w:rPr>
          <w:rFonts w:ascii="仿宋" w:eastAsia="仿宋" w:hAnsi="仿宋" w:hint="eastAsia"/>
          <w:b/>
          <w:bCs/>
          <w:color w:val="333333"/>
          <w:sz w:val="24"/>
          <w:szCs w:val="24"/>
        </w:rPr>
        <w:t>我校开展第二批本科专业评估</w:t>
      </w:r>
    </w:p>
    <w:p w:rsidR="00E84AFC" w:rsidRPr="00844757" w:rsidRDefault="00E84AFC" w:rsidP="00E84AFC">
      <w:pPr>
        <w:snapToGrid w:val="0"/>
        <w:spacing w:beforeLines="50" w:before="156" w:afterLines="50" w:after="156" w:line="360" w:lineRule="auto"/>
        <w:ind w:firstLineChars="200" w:firstLine="482"/>
        <w:rPr>
          <w:rFonts w:ascii="仿宋" w:eastAsia="仿宋" w:hAnsi="仿宋"/>
          <w:b/>
          <w:bCs/>
          <w:color w:val="333333"/>
          <w:sz w:val="24"/>
          <w:szCs w:val="24"/>
        </w:rPr>
      </w:pPr>
      <w:r w:rsidRPr="00844757">
        <w:rPr>
          <w:rFonts w:ascii="仿宋" w:eastAsia="仿宋" w:hAnsi="仿宋" w:hint="eastAsia"/>
          <w:b/>
          <w:bCs/>
          <w:color w:val="333333"/>
          <w:sz w:val="24"/>
          <w:szCs w:val="24"/>
        </w:rPr>
        <w:t>★</w:t>
      </w:r>
      <w:r w:rsidRPr="00844757">
        <w:rPr>
          <w:rFonts w:ascii="仿宋" w:eastAsia="仿宋" w:hAnsi="仿宋" w:hint="eastAsia"/>
          <w:b/>
          <w:bCs/>
          <w:color w:val="333333"/>
          <w:sz w:val="24"/>
          <w:szCs w:val="24"/>
        </w:rPr>
        <w:t>河北大学2019届本科生毕业论文（设计）评估分析报告</w:t>
      </w:r>
    </w:p>
    <w:p w:rsidR="00E84AFC" w:rsidRPr="00844757" w:rsidRDefault="00E84AFC" w:rsidP="00E61096">
      <w:pPr>
        <w:snapToGrid w:val="0"/>
        <w:spacing w:beforeLines="50" w:before="156" w:afterLines="50" w:after="156" w:line="360" w:lineRule="auto"/>
        <w:ind w:firstLineChars="200" w:firstLine="482"/>
        <w:rPr>
          <w:rFonts w:ascii="仿宋" w:eastAsia="仿宋" w:hAnsi="仿宋"/>
          <w:b/>
          <w:bCs/>
          <w:color w:val="333333"/>
          <w:sz w:val="24"/>
          <w:szCs w:val="24"/>
        </w:rPr>
      </w:pPr>
      <w:r w:rsidRPr="00844757">
        <w:rPr>
          <w:rFonts w:ascii="仿宋" w:eastAsia="仿宋" w:hAnsi="仿宋" w:hint="eastAsia"/>
          <w:b/>
          <w:bCs/>
          <w:color w:val="333333"/>
          <w:sz w:val="24"/>
          <w:szCs w:val="24"/>
        </w:rPr>
        <w:t>★</w:t>
      </w:r>
      <w:r w:rsidRPr="00844757">
        <w:rPr>
          <w:rFonts w:ascii="仿宋" w:eastAsia="仿宋" w:hAnsi="仿宋" w:hint="eastAsia"/>
          <w:b/>
          <w:bCs/>
          <w:color w:val="333333"/>
          <w:sz w:val="24"/>
          <w:szCs w:val="24"/>
        </w:rPr>
        <w:t>河北大学2018-2019学年春学期本科课程考核试卷质量与管理评估分析报告</w:t>
      </w:r>
      <w:bookmarkStart w:id="0" w:name="_GoBack"/>
      <w:bookmarkEnd w:id="0"/>
    </w:p>
    <w:p w:rsidR="00E84AFC" w:rsidRPr="00844757" w:rsidRDefault="00E84AFC" w:rsidP="00E61096">
      <w:pPr>
        <w:snapToGrid w:val="0"/>
        <w:spacing w:beforeLines="50" w:before="156" w:afterLines="50" w:after="156" w:line="360" w:lineRule="auto"/>
        <w:ind w:firstLineChars="200" w:firstLine="482"/>
        <w:rPr>
          <w:rFonts w:ascii="仿宋" w:eastAsia="仿宋" w:hAnsi="仿宋" w:hint="eastAsia"/>
          <w:b/>
          <w:bCs/>
          <w:color w:val="333333"/>
          <w:sz w:val="24"/>
          <w:szCs w:val="24"/>
        </w:rPr>
      </w:pPr>
    </w:p>
    <w:p w:rsidR="00E84AFC" w:rsidRPr="00844757" w:rsidRDefault="00E84AFC" w:rsidP="00E84AFC">
      <w:pPr>
        <w:snapToGrid w:val="0"/>
        <w:spacing w:beforeLines="50" w:before="156" w:afterLines="50" w:after="156" w:line="360" w:lineRule="auto"/>
        <w:ind w:firstLineChars="200" w:firstLine="482"/>
        <w:rPr>
          <w:rFonts w:ascii="仿宋" w:eastAsia="仿宋" w:hAnsi="仿宋"/>
          <w:b/>
          <w:bCs/>
          <w:color w:val="000000"/>
          <w:sz w:val="24"/>
          <w:szCs w:val="24"/>
          <w:shd w:val="clear" w:color="auto" w:fill="FFFFFF"/>
        </w:rPr>
      </w:pPr>
      <w:r w:rsidRPr="00844757">
        <w:rPr>
          <w:rFonts w:ascii="仿宋" w:eastAsia="仿宋" w:hAnsi="仿宋" w:hint="eastAsia"/>
          <w:b/>
          <w:bCs/>
          <w:color w:val="333333"/>
          <w:sz w:val="24"/>
          <w:szCs w:val="24"/>
        </w:rPr>
        <w:t>★</w:t>
      </w:r>
      <w:r w:rsidRPr="00844757">
        <w:rPr>
          <w:rFonts w:ascii="仿宋" w:eastAsia="仿宋" w:hAnsi="仿宋" w:hint="eastAsia"/>
          <w:b/>
          <w:bCs/>
          <w:color w:val="000000"/>
          <w:sz w:val="24"/>
          <w:szCs w:val="24"/>
          <w:shd w:val="clear" w:color="auto" w:fill="FFFFFF"/>
        </w:rPr>
        <w:t>我校开展第二批本科专业评估</w:t>
      </w:r>
    </w:p>
    <w:p w:rsidR="00E84AFC" w:rsidRPr="00E84AFC" w:rsidRDefault="00E84AFC" w:rsidP="00844757">
      <w:pPr>
        <w:snapToGrid w:val="0"/>
        <w:spacing w:line="360" w:lineRule="auto"/>
        <w:ind w:firstLineChars="200" w:firstLine="480"/>
        <w:rPr>
          <w:rFonts w:ascii="仿宋" w:eastAsia="仿宋" w:hAnsi="仿宋" w:cs="宋体"/>
          <w:bCs/>
          <w:color w:val="333333"/>
          <w:kern w:val="0"/>
          <w:sz w:val="24"/>
          <w:szCs w:val="24"/>
        </w:rPr>
      </w:pPr>
      <w:r w:rsidRPr="00E84AFC">
        <w:rPr>
          <w:rFonts w:ascii="仿宋" w:eastAsia="仿宋" w:hAnsi="仿宋" w:cs="宋体" w:hint="eastAsia"/>
          <w:bCs/>
          <w:color w:val="333333"/>
          <w:kern w:val="0"/>
          <w:sz w:val="24"/>
          <w:szCs w:val="24"/>
        </w:rPr>
        <w:t>为不断加强本科专业建设与管理，突出专业内涵建设和特色发展，提高人才培养质量，根据《河北大学本科专业评估实施方案》（校教字[2017]14号）和校内自我评估工作安排，2019-2020学年秋学期，学校选取第二批30个本科专业开展了专项评估。</w:t>
      </w:r>
      <w:r w:rsidRPr="00E84AFC">
        <w:rPr>
          <w:rFonts w:ascii="Calibri" w:eastAsia="仿宋" w:hAnsi="Calibri" w:cs="Calibri"/>
          <w:bCs/>
          <w:color w:val="333333"/>
          <w:kern w:val="0"/>
          <w:sz w:val="24"/>
          <w:szCs w:val="24"/>
        </w:rPr>
        <w:t> </w:t>
      </w:r>
    </w:p>
    <w:p w:rsidR="00E84AFC" w:rsidRPr="00E84AFC" w:rsidRDefault="00E84AFC" w:rsidP="00844757">
      <w:pPr>
        <w:snapToGrid w:val="0"/>
        <w:spacing w:line="360" w:lineRule="auto"/>
        <w:ind w:firstLineChars="200" w:firstLine="480"/>
        <w:rPr>
          <w:rFonts w:ascii="仿宋" w:eastAsia="仿宋" w:hAnsi="仿宋" w:cs="宋体" w:hint="eastAsia"/>
          <w:bCs/>
          <w:color w:val="333333"/>
          <w:kern w:val="0"/>
          <w:sz w:val="24"/>
          <w:szCs w:val="24"/>
        </w:rPr>
      </w:pPr>
      <w:r w:rsidRPr="00E84AFC">
        <w:rPr>
          <w:rFonts w:ascii="仿宋" w:eastAsia="仿宋" w:hAnsi="仿宋" w:cs="宋体" w:hint="eastAsia"/>
          <w:bCs/>
          <w:color w:val="333333"/>
          <w:kern w:val="0"/>
          <w:sz w:val="24"/>
          <w:szCs w:val="24"/>
        </w:rPr>
        <w:t>专业自评阶段，各学院按要求成立本科专业自评领导小组，组织各参评专业开展自评。各专业对照评估指标和主要观测点逐项自查，总结经验、梳理问题，以《河北大学本科专业数据分析报告》为支撑，撰写并提交《专业自评报告》，按目录要求收集汇总相关支撑材料，为接受学校评估做好准备。</w:t>
      </w:r>
      <w:r w:rsidRPr="00E84AFC">
        <w:rPr>
          <w:rFonts w:ascii="Calibri" w:eastAsia="仿宋" w:hAnsi="Calibri" w:cs="Calibri"/>
          <w:bCs/>
          <w:color w:val="333333"/>
          <w:kern w:val="0"/>
          <w:sz w:val="24"/>
          <w:szCs w:val="24"/>
        </w:rPr>
        <w:t> </w:t>
      </w:r>
    </w:p>
    <w:p w:rsidR="00E84AFC" w:rsidRPr="00E84AFC" w:rsidRDefault="00E84AFC" w:rsidP="00844757">
      <w:pPr>
        <w:snapToGrid w:val="0"/>
        <w:spacing w:line="360" w:lineRule="auto"/>
        <w:ind w:firstLineChars="200" w:firstLine="480"/>
        <w:rPr>
          <w:rFonts w:ascii="仿宋" w:eastAsia="仿宋" w:hAnsi="仿宋" w:cs="宋体" w:hint="eastAsia"/>
          <w:bCs/>
          <w:color w:val="333333"/>
          <w:kern w:val="0"/>
          <w:sz w:val="24"/>
          <w:szCs w:val="24"/>
        </w:rPr>
      </w:pPr>
      <w:r w:rsidRPr="00E84AFC">
        <w:rPr>
          <w:rFonts w:ascii="仿宋" w:eastAsia="仿宋" w:hAnsi="仿宋" w:cs="宋体" w:hint="eastAsia"/>
          <w:bCs/>
          <w:color w:val="333333"/>
          <w:kern w:val="0"/>
          <w:sz w:val="24"/>
          <w:szCs w:val="24"/>
        </w:rPr>
        <w:t>学校评估阶段，根据参评专业学科专业性质，学校组成6个由校内督学组成的专家组，包括3个文科组、2个理工科组和1个医科组。教育教学质量评估与教师发展中心专门下发《评估专家工作指南》《本科专业评估考察要点》等材料，对专业评估工作进行部署安排。实地考察前，专家组成员认真审阅各专业自评报告和数据分析报告；实地考察期间，各专家组通过查阅支撑材料及试卷和毕业论文（设计）、听取专业汇报和就存疑问题进行访谈等方式，围绕“五个度”（专业培养目标与培养效果的达成度、专业定位与社会需求的适应度、师资队伍及教学资源的支撑度、质量保障体系运行的有效度</w:t>
      </w:r>
      <w:r w:rsidRPr="00E84AFC">
        <w:rPr>
          <w:rFonts w:ascii="仿宋" w:eastAsia="仿宋" w:hAnsi="仿宋" w:cs="宋体" w:hint="eastAsia"/>
          <w:bCs/>
          <w:color w:val="333333"/>
          <w:kern w:val="0"/>
          <w:sz w:val="24"/>
          <w:szCs w:val="24"/>
        </w:rPr>
        <w:lastRenderedPageBreak/>
        <w:t>以及学生和用人单位的满意度），对各评估指标内容进行考察，本次专业评估与课程考核试卷质量与管理评估、毕业论文（设计）评估合并进行；实地考察结束后，各专家组对评估情况进行了现场反馈，就评估意见与参评专业进行交流，分专业撰写完成《评估报告》，报告明确了各专业值得肯定和需要改进之处，并提出针对性整改建议。</w:t>
      </w:r>
      <w:r w:rsidRPr="00E84AFC">
        <w:rPr>
          <w:rFonts w:ascii="Calibri" w:eastAsia="仿宋" w:hAnsi="Calibri" w:cs="Calibri"/>
          <w:bCs/>
          <w:color w:val="333333"/>
          <w:kern w:val="0"/>
          <w:sz w:val="24"/>
          <w:szCs w:val="24"/>
        </w:rPr>
        <w:t> </w:t>
      </w:r>
    </w:p>
    <w:p w:rsidR="00E84AFC" w:rsidRPr="00E84AFC" w:rsidRDefault="00E84AFC" w:rsidP="00844757">
      <w:pPr>
        <w:snapToGrid w:val="0"/>
        <w:spacing w:line="360" w:lineRule="auto"/>
        <w:ind w:firstLineChars="200" w:firstLine="480"/>
        <w:rPr>
          <w:rFonts w:ascii="仿宋" w:eastAsia="仿宋" w:hAnsi="仿宋" w:cs="宋体" w:hint="eastAsia"/>
          <w:bCs/>
          <w:color w:val="333333"/>
          <w:kern w:val="0"/>
          <w:sz w:val="24"/>
          <w:szCs w:val="24"/>
        </w:rPr>
      </w:pPr>
      <w:r w:rsidRPr="00E84AFC">
        <w:rPr>
          <w:rFonts w:ascii="仿宋" w:eastAsia="仿宋" w:hAnsi="仿宋" w:cs="宋体" w:hint="eastAsia"/>
          <w:bCs/>
          <w:color w:val="333333"/>
          <w:kern w:val="0"/>
          <w:sz w:val="24"/>
          <w:szCs w:val="24"/>
        </w:rPr>
        <w:t>根据专家组提交的分专业《评估报告》，教育教学质量评估与教师发展中心进行汇总、分析，并就普遍存在的需要改进之处和整改建议进行提炼，完成了《河北大学第二批本科专业评估报告综述》（见附件）。</w:t>
      </w:r>
      <w:r w:rsidRPr="00E84AFC">
        <w:rPr>
          <w:rFonts w:ascii="Calibri" w:eastAsia="仿宋" w:hAnsi="Calibri" w:cs="Calibri"/>
          <w:bCs/>
          <w:color w:val="333333"/>
          <w:kern w:val="0"/>
          <w:sz w:val="24"/>
          <w:szCs w:val="24"/>
        </w:rPr>
        <w:t> </w:t>
      </w:r>
    </w:p>
    <w:p w:rsidR="00E84AFC" w:rsidRPr="00E84AFC" w:rsidRDefault="00E84AFC" w:rsidP="00844757">
      <w:pPr>
        <w:snapToGrid w:val="0"/>
        <w:spacing w:line="360" w:lineRule="auto"/>
        <w:ind w:firstLineChars="200" w:firstLine="480"/>
        <w:rPr>
          <w:rFonts w:ascii="仿宋" w:eastAsia="仿宋" w:hAnsi="仿宋" w:cs="宋体" w:hint="eastAsia"/>
          <w:bCs/>
          <w:color w:val="333333"/>
          <w:kern w:val="0"/>
          <w:sz w:val="24"/>
          <w:szCs w:val="24"/>
        </w:rPr>
      </w:pPr>
      <w:r w:rsidRPr="00E84AFC">
        <w:rPr>
          <w:rFonts w:ascii="仿宋" w:eastAsia="仿宋" w:hAnsi="仿宋" w:cs="宋体" w:hint="eastAsia"/>
          <w:bCs/>
          <w:color w:val="333333"/>
          <w:kern w:val="0"/>
          <w:sz w:val="24"/>
          <w:szCs w:val="24"/>
        </w:rPr>
        <w:t>《综述》及分专业《评估报告》将反馈至各相关部门、各学院及各参评专业。希望校、院、专业合力，以校内专业评估整改为契机，进一步明确专业定位，规范专业管理，深化教学改革，加强师资队伍和基层教学组织建设，实现“做强一流本科、建设一流专业、培养一流人才”的目标。</w:t>
      </w:r>
      <w:r w:rsidRPr="00E84AFC">
        <w:rPr>
          <w:rFonts w:ascii="Calibri" w:eastAsia="仿宋" w:hAnsi="Calibri" w:cs="Calibri"/>
          <w:bCs/>
          <w:color w:val="333333"/>
          <w:kern w:val="0"/>
          <w:sz w:val="24"/>
          <w:szCs w:val="24"/>
        </w:rPr>
        <w:t> </w:t>
      </w:r>
    </w:p>
    <w:tbl>
      <w:tblPr>
        <w:tblW w:w="12300" w:type="dxa"/>
        <w:jc w:val="center"/>
        <w:tblCellSpacing w:w="0" w:type="dxa"/>
        <w:shd w:val="clear" w:color="auto" w:fill="FFFFFF"/>
        <w:tblCellMar>
          <w:left w:w="0" w:type="dxa"/>
          <w:right w:w="0" w:type="dxa"/>
        </w:tblCellMar>
        <w:tblLook w:val="04A0" w:firstRow="1" w:lastRow="0" w:firstColumn="1" w:lastColumn="0" w:noHBand="0" w:noVBand="1"/>
      </w:tblPr>
      <w:tblGrid>
        <w:gridCol w:w="12300"/>
      </w:tblGrid>
      <w:tr w:rsidR="00E61096" w:rsidRPr="00E61096" w:rsidTr="00E61096">
        <w:trPr>
          <w:tblCellSpacing w:w="0" w:type="dxa"/>
          <w:jc w:val="center"/>
        </w:trPr>
        <w:tc>
          <w:tcPr>
            <w:tcW w:w="12300" w:type="dxa"/>
            <w:tcBorders>
              <w:top w:val="nil"/>
              <w:left w:val="nil"/>
              <w:bottom w:val="nil"/>
              <w:right w:val="nil"/>
            </w:tcBorders>
            <w:shd w:val="clear" w:color="auto" w:fill="FFFFFF"/>
            <w:tcMar>
              <w:top w:w="150" w:type="dxa"/>
              <w:left w:w="150" w:type="dxa"/>
              <w:bottom w:w="150" w:type="dxa"/>
              <w:right w:w="150" w:type="dxa"/>
            </w:tcMar>
          </w:tcPr>
          <w:p w:rsidR="00E61096" w:rsidRPr="00E61096" w:rsidRDefault="00E61096" w:rsidP="00E61096">
            <w:pPr>
              <w:widowControl/>
              <w:jc w:val="left"/>
              <w:rPr>
                <w:rFonts w:ascii="仿宋" w:eastAsia="仿宋" w:hAnsi="仿宋" w:cs="宋体"/>
                <w:bCs/>
                <w:color w:val="333333"/>
                <w:kern w:val="0"/>
                <w:sz w:val="24"/>
                <w:szCs w:val="24"/>
              </w:rPr>
            </w:pPr>
          </w:p>
        </w:tc>
      </w:tr>
    </w:tbl>
    <w:p w:rsidR="009734A8" w:rsidRPr="00844757" w:rsidRDefault="00E61096" w:rsidP="00E84AFC">
      <w:pPr>
        <w:snapToGrid w:val="0"/>
        <w:spacing w:line="360" w:lineRule="auto"/>
        <w:ind w:firstLineChars="200" w:firstLine="482"/>
        <w:rPr>
          <w:rFonts w:ascii="仿宋" w:eastAsia="仿宋" w:hAnsi="仿宋" w:cs="宋体"/>
          <w:bCs/>
          <w:color w:val="333333"/>
          <w:kern w:val="0"/>
          <w:sz w:val="24"/>
          <w:szCs w:val="24"/>
        </w:rPr>
      </w:pPr>
      <w:r w:rsidRPr="00844757">
        <w:rPr>
          <w:rFonts w:ascii="仿宋" w:eastAsia="仿宋" w:hAnsi="仿宋" w:hint="eastAsia"/>
          <w:b/>
          <w:bCs/>
          <w:color w:val="333333"/>
          <w:sz w:val="24"/>
          <w:szCs w:val="24"/>
        </w:rPr>
        <w:t>★</w:t>
      </w:r>
      <w:r w:rsidR="00E84AFC" w:rsidRPr="00844757">
        <w:rPr>
          <w:rFonts w:ascii="微软雅黑" w:eastAsia="微软雅黑" w:hAnsi="微软雅黑" w:hint="eastAsia"/>
          <w:b/>
          <w:bCs/>
          <w:color w:val="000000"/>
          <w:sz w:val="24"/>
          <w:szCs w:val="24"/>
          <w:shd w:val="clear" w:color="auto" w:fill="FFFFFF"/>
        </w:rPr>
        <w:t>河北大学2019届本科生毕业论文（设计）评估分析报告</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为进一步加强本科生毕业论文（设计）管理与监控力度，不断提高本科生毕业论文（设计）水平和质量，</w:t>
      </w:r>
      <w:r w:rsidRPr="00844757">
        <w:rPr>
          <w:rFonts w:ascii="仿宋" w:eastAsia="仿宋" w:hAnsi="仿宋" w:cs="宋体" w:hint="eastAsia"/>
          <w:bCs/>
          <w:color w:val="333333"/>
          <w:kern w:val="0"/>
          <w:sz w:val="24"/>
          <w:szCs w:val="24"/>
        </w:rPr>
        <w:t>201</w:t>
      </w:r>
      <w:r w:rsidRPr="00844757">
        <w:rPr>
          <w:rFonts w:ascii="仿宋" w:eastAsia="仿宋" w:hAnsi="仿宋" w:cs="宋体"/>
          <w:bCs/>
          <w:color w:val="333333"/>
          <w:kern w:val="0"/>
          <w:sz w:val="24"/>
          <w:szCs w:val="24"/>
        </w:rPr>
        <w:t>9</w:t>
      </w:r>
      <w:r w:rsidRPr="00844757">
        <w:rPr>
          <w:rFonts w:ascii="仿宋" w:eastAsia="仿宋" w:hAnsi="仿宋" w:cs="宋体" w:hint="eastAsia"/>
          <w:bCs/>
          <w:color w:val="333333"/>
          <w:kern w:val="0"/>
          <w:sz w:val="24"/>
          <w:szCs w:val="24"/>
        </w:rPr>
        <w:t>年</w:t>
      </w:r>
      <w:r w:rsidRPr="00844757">
        <w:rPr>
          <w:rFonts w:ascii="仿宋" w:eastAsia="仿宋" w:hAnsi="仿宋" w:cs="宋体"/>
          <w:bCs/>
          <w:color w:val="333333"/>
          <w:kern w:val="0"/>
          <w:sz w:val="24"/>
          <w:szCs w:val="24"/>
        </w:rPr>
        <w:t>11</w:t>
      </w:r>
      <w:r w:rsidRPr="00844757">
        <w:rPr>
          <w:rFonts w:ascii="仿宋" w:eastAsia="仿宋" w:hAnsi="仿宋" w:cs="宋体" w:hint="eastAsia"/>
          <w:bCs/>
          <w:color w:val="333333"/>
          <w:kern w:val="0"/>
          <w:sz w:val="24"/>
          <w:szCs w:val="24"/>
        </w:rPr>
        <w:t>月</w:t>
      </w:r>
      <w:r w:rsidRPr="00844757">
        <w:rPr>
          <w:rFonts w:ascii="仿宋" w:eastAsia="仿宋" w:hAnsi="仿宋" w:cs="宋体"/>
          <w:bCs/>
          <w:color w:val="333333"/>
          <w:kern w:val="0"/>
          <w:sz w:val="24"/>
          <w:szCs w:val="24"/>
        </w:rPr>
        <w:t>11</w:t>
      </w:r>
      <w:r w:rsidRPr="00844757">
        <w:rPr>
          <w:rFonts w:ascii="仿宋" w:eastAsia="仿宋" w:hAnsi="仿宋" w:cs="宋体" w:hint="eastAsia"/>
          <w:bCs/>
          <w:color w:val="333333"/>
          <w:kern w:val="0"/>
          <w:sz w:val="24"/>
          <w:szCs w:val="24"/>
        </w:rPr>
        <w:t>日至1</w:t>
      </w:r>
      <w:r w:rsidRPr="00844757">
        <w:rPr>
          <w:rFonts w:ascii="仿宋" w:eastAsia="仿宋" w:hAnsi="仿宋" w:cs="宋体"/>
          <w:bCs/>
          <w:color w:val="333333"/>
          <w:kern w:val="0"/>
          <w:sz w:val="24"/>
          <w:szCs w:val="24"/>
        </w:rPr>
        <w:t>2月</w:t>
      </w:r>
      <w:r w:rsidRPr="00844757">
        <w:rPr>
          <w:rFonts w:ascii="仿宋" w:eastAsia="仿宋" w:hAnsi="仿宋" w:cs="宋体" w:hint="eastAsia"/>
          <w:bCs/>
          <w:color w:val="333333"/>
          <w:kern w:val="0"/>
          <w:sz w:val="24"/>
          <w:szCs w:val="24"/>
        </w:rPr>
        <w:t>13日</w:t>
      </w:r>
      <w:r w:rsidRPr="00844757">
        <w:rPr>
          <w:rFonts w:ascii="仿宋" w:eastAsia="仿宋" w:hAnsi="仿宋" w:cs="宋体"/>
          <w:bCs/>
          <w:color w:val="333333"/>
          <w:kern w:val="0"/>
          <w:sz w:val="24"/>
          <w:szCs w:val="24"/>
        </w:rPr>
        <w:t>，</w:t>
      </w:r>
      <w:r w:rsidRPr="00844757">
        <w:rPr>
          <w:rFonts w:ascii="仿宋" w:eastAsia="仿宋" w:hAnsi="仿宋" w:cs="宋体" w:hint="eastAsia"/>
          <w:bCs/>
          <w:color w:val="333333"/>
          <w:kern w:val="0"/>
          <w:sz w:val="24"/>
          <w:szCs w:val="24"/>
        </w:rPr>
        <w:t>学校组织督学结合专业评估工作，分</w:t>
      </w:r>
      <w:r w:rsidRPr="00844757">
        <w:rPr>
          <w:rFonts w:ascii="仿宋" w:eastAsia="仿宋" w:hAnsi="仿宋" w:cs="宋体"/>
          <w:bCs/>
          <w:color w:val="333333"/>
          <w:kern w:val="0"/>
          <w:sz w:val="24"/>
          <w:szCs w:val="24"/>
        </w:rPr>
        <w:t>组</w:t>
      </w:r>
      <w:r w:rsidRPr="00844757">
        <w:rPr>
          <w:rFonts w:ascii="仿宋" w:eastAsia="仿宋" w:hAnsi="仿宋" w:cs="宋体" w:hint="eastAsia"/>
          <w:bCs/>
          <w:color w:val="333333"/>
          <w:kern w:val="0"/>
          <w:sz w:val="24"/>
          <w:szCs w:val="24"/>
        </w:rPr>
        <w:t>对201</w:t>
      </w:r>
      <w:r w:rsidRPr="00844757">
        <w:rPr>
          <w:rFonts w:ascii="仿宋" w:eastAsia="仿宋" w:hAnsi="仿宋" w:cs="宋体"/>
          <w:bCs/>
          <w:color w:val="333333"/>
          <w:kern w:val="0"/>
          <w:sz w:val="24"/>
          <w:szCs w:val="24"/>
        </w:rPr>
        <w:t>9</w:t>
      </w:r>
      <w:r w:rsidRPr="00844757">
        <w:rPr>
          <w:rFonts w:ascii="仿宋" w:eastAsia="仿宋" w:hAnsi="仿宋" w:cs="宋体" w:hint="eastAsia"/>
          <w:bCs/>
          <w:color w:val="333333"/>
          <w:kern w:val="0"/>
          <w:sz w:val="24"/>
          <w:szCs w:val="24"/>
        </w:rPr>
        <w:t>届本科生</w:t>
      </w:r>
      <w:r w:rsidRPr="00844757">
        <w:rPr>
          <w:rFonts w:ascii="仿宋" w:eastAsia="仿宋" w:hAnsi="仿宋" w:cs="宋体"/>
          <w:bCs/>
          <w:color w:val="333333"/>
          <w:kern w:val="0"/>
          <w:sz w:val="24"/>
          <w:szCs w:val="24"/>
        </w:rPr>
        <w:t>毕业论文（设计）</w:t>
      </w:r>
      <w:r w:rsidRPr="00844757">
        <w:rPr>
          <w:rFonts w:ascii="仿宋" w:eastAsia="仿宋" w:hAnsi="仿宋" w:cs="宋体" w:hint="eastAsia"/>
          <w:bCs/>
          <w:color w:val="333333"/>
          <w:kern w:val="0"/>
          <w:sz w:val="24"/>
          <w:szCs w:val="24"/>
        </w:rPr>
        <w:t>进行评估。评估结束后，教育教学质量评估与教师发展中心汇总专家组评估结果和意见建议，形成如下分析报告。</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一、总体情况</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本次评估范围涉及21个学院</w:t>
      </w:r>
      <w:r w:rsidRPr="00844757">
        <w:rPr>
          <w:rFonts w:ascii="仿宋" w:eastAsia="仿宋" w:hAnsi="仿宋" w:cs="宋体"/>
          <w:bCs/>
          <w:color w:val="333333"/>
          <w:kern w:val="0"/>
          <w:sz w:val="24"/>
          <w:szCs w:val="24"/>
        </w:rPr>
        <w:t>35</w:t>
      </w:r>
      <w:r w:rsidRPr="00844757">
        <w:rPr>
          <w:rFonts w:ascii="仿宋" w:eastAsia="仿宋" w:hAnsi="仿宋" w:cs="宋体" w:hint="eastAsia"/>
          <w:bCs/>
          <w:color w:val="333333"/>
          <w:kern w:val="0"/>
          <w:sz w:val="24"/>
          <w:szCs w:val="24"/>
        </w:rPr>
        <w:t>个专业，评估内容包括</w:t>
      </w:r>
      <w:r w:rsidRPr="00844757">
        <w:rPr>
          <w:rFonts w:ascii="仿宋" w:eastAsia="仿宋" w:hAnsi="仿宋" w:cs="宋体"/>
          <w:bCs/>
          <w:color w:val="333333"/>
          <w:kern w:val="0"/>
          <w:sz w:val="24"/>
          <w:szCs w:val="24"/>
        </w:rPr>
        <w:t>管理工作水平</w:t>
      </w:r>
      <w:r w:rsidRPr="00844757">
        <w:rPr>
          <w:rFonts w:ascii="仿宋" w:eastAsia="仿宋" w:hAnsi="仿宋" w:cs="宋体" w:hint="eastAsia"/>
          <w:bCs/>
          <w:color w:val="333333"/>
          <w:kern w:val="0"/>
          <w:sz w:val="24"/>
          <w:szCs w:val="24"/>
        </w:rPr>
        <w:t>质量</w:t>
      </w:r>
      <w:r w:rsidRPr="00844757">
        <w:rPr>
          <w:rFonts w:ascii="仿宋" w:eastAsia="仿宋" w:hAnsi="仿宋" w:cs="宋体"/>
          <w:bCs/>
          <w:color w:val="333333"/>
          <w:kern w:val="0"/>
          <w:sz w:val="24"/>
          <w:szCs w:val="24"/>
        </w:rPr>
        <w:t>和毕业论文（设计）</w:t>
      </w:r>
      <w:r w:rsidRPr="00844757">
        <w:rPr>
          <w:rFonts w:ascii="仿宋" w:eastAsia="仿宋" w:hAnsi="仿宋" w:cs="宋体" w:hint="eastAsia"/>
          <w:bCs/>
          <w:color w:val="333333"/>
          <w:kern w:val="0"/>
          <w:sz w:val="24"/>
          <w:szCs w:val="24"/>
        </w:rPr>
        <w:t>质量两大方面。</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学校评估</w:t>
      </w:r>
      <w:r w:rsidRPr="00844757">
        <w:rPr>
          <w:rFonts w:ascii="仿宋" w:eastAsia="仿宋" w:hAnsi="仿宋" w:cs="宋体"/>
          <w:bCs/>
          <w:color w:val="333333"/>
          <w:kern w:val="0"/>
          <w:sz w:val="24"/>
          <w:szCs w:val="24"/>
        </w:rPr>
        <w:t>在学院自评基础上进行</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主要采取</w:t>
      </w:r>
      <w:r w:rsidRPr="00844757">
        <w:rPr>
          <w:rFonts w:ascii="仿宋" w:eastAsia="仿宋" w:hAnsi="仿宋" w:cs="宋体" w:hint="eastAsia"/>
          <w:bCs/>
          <w:color w:val="333333"/>
          <w:kern w:val="0"/>
          <w:sz w:val="24"/>
          <w:szCs w:val="24"/>
        </w:rPr>
        <w:t>抽查毕业论文（设计）和</w:t>
      </w:r>
      <w:r w:rsidRPr="00844757">
        <w:rPr>
          <w:rFonts w:ascii="仿宋" w:eastAsia="仿宋" w:hAnsi="仿宋" w:cs="宋体"/>
          <w:bCs/>
          <w:color w:val="333333"/>
          <w:kern w:val="0"/>
          <w:sz w:val="24"/>
          <w:szCs w:val="24"/>
        </w:rPr>
        <w:t>查阅</w:t>
      </w:r>
      <w:r w:rsidRPr="00844757">
        <w:rPr>
          <w:rFonts w:ascii="仿宋" w:eastAsia="仿宋" w:hAnsi="仿宋" w:cs="宋体" w:hint="eastAsia"/>
          <w:bCs/>
          <w:color w:val="333333"/>
          <w:kern w:val="0"/>
          <w:sz w:val="24"/>
          <w:szCs w:val="24"/>
        </w:rPr>
        <w:t>相关归档</w:t>
      </w:r>
      <w:r w:rsidRPr="00844757">
        <w:rPr>
          <w:rFonts w:ascii="仿宋" w:eastAsia="仿宋" w:hAnsi="仿宋" w:cs="宋体"/>
          <w:bCs/>
          <w:color w:val="333333"/>
          <w:kern w:val="0"/>
          <w:sz w:val="24"/>
          <w:szCs w:val="24"/>
        </w:rPr>
        <w:t>资料的形式</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论文管理工作水平质量评价24</w:t>
      </w:r>
      <w:r w:rsidRPr="00844757">
        <w:rPr>
          <w:rFonts w:ascii="仿宋" w:eastAsia="仿宋" w:hAnsi="仿宋" w:cs="宋体" w:hint="eastAsia"/>
          <w:bCs/>
          <w:color w:val="333333"/>
          <w:kern w:val="0"/>
          <w:sz w:val="24"/>
          <w:szCs w:val="24"/>
        </w:rPr>
        <w:t>个专业被评为优秀，</w:t>
      </w:r>
      <w:r w:rsidRPr="00844757">
        <w:rPr>
          <w:rFonts w:ascii="仿宋" w:eastAsia="仿宋" w:hAnsi="仿宋" w:cs="宋体"/>
          <w:bCs/>
          <w:color w:val="333333"/>
          <w:kern w:val="0"/>
          <w:sz w:val="24"/>
          <w:szCs w:val="24"/>
        </w:rPr>
        <w:t>8</w:t>
      </w:r>
      <w:r w:rsidRPr="00844757">
        <w:rPr>
          <w:rFonts w:ascii="仿宋" w:eastAsia="仿宋" w:hAnsi="仿宋" w:cs="宋体" w:hint="eastAsia"/>
          <w:bCs/>
          <w:color w:val="333333"/>
          <w:kern w:val="0"/>
          <w:sz w:val="24"/>
          <w:szCs w:val="24"/>
        </w:rPr>
        <w:t>个专业被评为良好，3个专业被评为合格；</w:t>
      </w:r>
      <w:r w:rsidRPr="00844757">
        <w:rPr>
          <w:rFonts w:ascii="仿宋" w:eastAsia="仿宋" w:hAnsi="仿宋" w:cs="宋体"/>
          <w:bCs/>
          <w:color w:val="333333"/>
          <w:kern w:val="0"/>
          <w:sz w:val="24"/>
          <w:szCs w:val="24"/>
        </w:rPr>
        <w:t>毕业论文（设计）</w:t>
      </w:r>
      <w:r w:rsidRPr="00844757">
        <w:rPr>
          <w:rFonts w:ascii="仿宋" w:eastAsia="仿宋" w:hAnsi="仿宋" w:cs="宋体" w:hint="eastAsia"/>
          <w:bCs/>
          <w:color w:val="333333"/>
          <w:kern w:val="0"/>
          <w:sz w:val="24"/>
          <w:szCs w:val="24"/>
        </w:rPr>
        <w:t>质量评价共抽查</w:t>
      </w:r>
      <w:r w:rsidRPr="00844757">
        <w:rPr>
          <w:rFonts w:ascii="仿宋" w:eastAsia="仿宋" w:hAnsi="仿宋" w:cs="宋体"/>
          <w:bCs/>
          <w:color w:val="333333"/>
          <w:kern w:val="0"/>
          <w:sz w:val="24"/>
          <w:szCs w:val="24"/>
        </w:rPr>
        <w:t>310</w:t>
      </w:r>
      <w:r w:rsidRPr="00844757">
        <w:rPr>
          <w:rFonts w:ascii="仿宋" w:eastAsia="仿宋" w:hAnsi="仿宋" w:cs="宋体" w:hint="eastAsia"/>
          <w:bCs/>
          <w:color w:val="333333"/>
          <w:kern w:val="0"/>
          <w:sz w:val="24"/>
          <w:szCs w:val="24"/>
        </w:rPr>
        <w:t>份，1</w:t>
      </w:r>
      <w:r w:rsidRPr="00844757">
        <w:rPr>
          <w:rFonts w:ascii="仿宋" w:eastAsia="仿宋" w:hAnsi="仿宋" w:cs="宋体"/>
          <w:bCs/>
          <w:color w:val="333333"/>
          <w:kern w:val="0"/>
          <w:sz w:val="24"/>
          <w:szCs w:val="24"/>
        </w:rPr>
        <w:t>10</w:t>
      </w:r>
      <w:r w:rsidRPr="00844757">
        <w:rPr>
          <w:rFonts w:ascii="仿宋" w:eastAsia="仿宋" w:hAnsi="仿宋" w:cs="宋体" w:hint="eastAsia"/>
          <w:bCs/>
          <w:color w:val="333333"/>
          <w:kern w:val="0"/>
          <w:sz w:val="24"/>
          <w:szCs w:val="24"/>
        </w:rPr>
        <w:t>份论文被评为优秀，</w:t>
      </w:r>
      <w:r w:rsidRPr="00844757">
        <w:rPr>
          <w:rFonts w:ascii="仿宋" w:eastAsia="仿宋" w:hAnsi="仿宋" w:cs="宋体"/>
          <w:bCs/>
          <w:color w:val="333333"/>
          <w:kern w:val="0"/>
          <w:sz w:val="24"/>
          <w:szCs w:val="24"/>
        </w:rPr>
        <w:t>163</w:t>
      </w:r>
      <w:r w:rsidRPr="00844757">
        <w:rPr>
          <w:rFonts w:ascii="仿宋" w:eastAsia="仿宋" w:hAnsi="仿宋" w:cs="宋体" w:hint="eastAsia"/>
          <w:bCs/>
          <w:color w:val="333333"/>
          <w:kern w:val="0"/>
          <w:sz w:val="24"/>
          <w:szCs w:val="24"/>
        </w:rPr>
        <w:t>份论文被评为良好，</w:t>
      </w:r>
      <w:r w:rsidRPr="00844757">
        <w:rPr>
          <w:rFonts w:ascii="仿宋" w:eastAsia="仿宋" w:hAnsi="仿宋" w:cs="宋体"/>
          <w:bCs/>
          <w:color w:val="333333"/>
          <w:kern w:val="0"/>
          <w:sz w:val="24"/>
          <w:szCs w:val="24"/>
        </w:rPr>
        <w:t>37</w:t>
      </w:r>
      <w:r w:rsidRPr="00844757">
        <w:rPr>
          <w:rFonts w:ascii="仿宋" w:eastAsia="仿宋" w:hAnsi="仿宋" w:cs="宋体" w:hint="eastAsia"/>
          <w:bCs/>
          <w:color w:val="333333"/>
          <w:kern w:val="0"/>
          <w:sz w:val="24"/>
          <w:szCs w:val="24"/>
        </w:rPr>
        <w:t>份论文被评为合格。学院毕业论文（设计）工作综合评价9个学院被评为优秀，</w:t>
      </w:r>
      <w:r w:rsidRPr="00844757">
        <w:rPr>
          <w:rFonts w:ascii="仿宋" w:eastAsia="仿宋" w:hAnsi="仿宋" w:cs="宋体"/>
          <w:bCs/>
          <w:color w:val="333333"/>
          <w:kern w:val="0"/>
          <w:sz w:val="24"/>
          <w:szCs w:val="24"/>
        </w:rPr>
        <w:t>11</w:t>
      </w:r>
      <w:r w:rsidRPr="00844757">
        <w:rPr>
          <w:rFonts w:ascii="仿宋" w:eastAsia="仿宋" w:hAnsi="仿宋" w:cs="宋体" w:hint="eastAsia"/>
          <w:bCs/>
          <w:color w:val="333333"/>
          <w:kern w:val="0"/>
          <w:sz w:val="24"/>
          <w:szCs w:val="24"/>
        </w:rPr>
        <w:t>个学院为良好，1个学院被评为合格。评估期间，</w:t>
      </w:r>
      <w:r w:rsidRPr="00844757">
        <w:rPr>
          <w:rFonts w:ascii="仿宋" w:eastAsia="仿宋" w:hAnsi="仿宋" w:cs="宋体"/>
          <w:bCs/>
          <w:color w:val="333333"/>
          <w:kern w:val="0"/>
          <w:sz w:val="24"/>
          <w:szCs w:val="24"/>
        </w:rPr>
        <w:t>专家组</w:t>
      </w:r>
      <w:r w:rsidRPr="00844757">
        <w:rPr>
          <w:rFonts w:ascii="仿宋" w:eastAsia="仿宋" w:hAnsi="仿宋" w:cs="宋体" w:hint="eastAsia"/>
          <w:bCs/>
          <w:color w:val="333333"/>
          <w:kern w:val="0"/>
          <w:sz w:val="24"/>
          <w:szCs w:val="24"/>
        </w:rPr>
        <w:t>成员认真负责，对论文等文档材料逐项检查，并提交了对毕业论文（设计）质量和管理进行综合评价的《河北大学本科生毕业论文（设计）评价表》。</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从评估结果来看，多数学院重视毕业论文（设计）工作，能够按照学校文件规定和相关要求开展工作，大部分指导教师认真负责，大多数学生态度端正，能较好按照《河</w:t>
      </w:r>
      <w:r w:rsidRPr="00844757">
        <w:rPr>
          <w:rFonts w:ascii="仿宋" w:eastAsia="仿宋" w:hAnsi="仿宋" w:cs="宋体" w:hint="eastAsia"/>
          <w:bCs/>
          <w:color w:val="333333"/>
          <w:kern w:val="0"/>
          <w:sz w:val="24"/>
          <w:szCs w:val="24"/>
        </w:rPr>
        <w:lastRenderedPageBreak/>
        <w:t>北大学本科毕业论文（设计）撰写规范》的基本要求写作，选题适宜，观点明确，结构合理，资料丰富，表达流畅。</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二、存在问题</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（一）毕业论文（设计）管理工作水平方面</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 xml:space="preserve">1.指导教师 </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个别学院指导教师职称多为助教，不符合学校要求。</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2.指导过程</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有的指导老师指导质量不高，发现有指导老师用表没有指导内容。有的工作指导记录是学生口吻书写，有的进度安排明显不合理、不合规范。</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3.答辩</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答辩记录过于简单，缺少对论文内容的深入问答，有的没有具体问答，有的回答问题过于简单或问题数量偏少。另外，答辩评语的客观、全面、具体及语言规范性有待提高。个别学院存在答辩小组成员过少问题，仅为两人。有的答辩小组秘书同时是答辩小组成员，有的秘书、组长、成员均为同一个人。</w:t>
      </w:r>
      <w:r w:rsidRPr="00844757">
        <w:rPr>
          <w:rFonts w:ascii="仿宋" w:eastAsia="仿宋" w:hAnsi="仿宋" w:cs="宋体"/>
          <w:bCs/>
          <w:color w:val="333333"/>
          <w:kern w:val="0"/>
          <w:sz w:val="24"/>
          <w:szCs w:val="24"/>
        </w:rPr>
        <w:t>有答辩记录未填写答辩时间</w:t>
      </w:r>
      <w:r w:rsidRPr="00844757">
        <w:rPr>
          <w:rFonts w:ascii="仿宋" w:eastAsia="仿宋" w:hAnsi="仿宋" w:cs="宋体" w:hint="eastAsia"/>
          <w:bCs/>
          <w:color w:val="333333"/>
          <w:kern w:val="0"/>
          <w:sz w:val="24"/>
          <w:szCs w:val="24"/>
        </w:rPr>
        <w:t>。</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4.成绩评定</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有的专业没有明确的论文评分细则，最终成绩缺乏依据；有的论文指导教师、评阅老师和答辩小组给分差距偏大，</w:t>
      </w:r>
      <w:r w:rsidRPr="00844757">
        <w:rPr>
          <w:rFonts w:ascii="仿宋" w:eastAsia="仿宋" w:hAnsi="仿宋" w:cs="宋体"/>
          <w:bCs/>
          <w:color w:val="333333"/>
          <w:kern w:val="0"/>
          <w:sz w:val="24"/>
          <w:szCs w:val="24"/>
        </w:rPr>
        <w:t>影响评价权威性</w:t>
      </w:r>
      <w:r w:rsidRPr="00844757">
        <w:rPr>
          <w:rFonts w:ascii="仿宋" w:eastAsia="仿宋" w:hAnsi="仿宋" w:cs="宋体" w:hint="eastAsia"/>
          <w:bCs/>
          <w:color w:val="333333"/>
          <w:kern w:val="0"/>
          <w:sz w:val="24"/>
          <w:szCs w:val="24"/>
        </w:rPr>
        <w:t>。评分表存在修改未签名现象。有的成绩评定表有手写、有打印，格式不统一。</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5.自评分析</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有的学院自评报告没有涉及问题及整改内容。</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6.文档管理</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个别学院管理规则不够细化，可操作性差，论文和文档过程性管理环节薄弱。有的材料所有需签名处都打印，有的采用代签。</w:t>
      </w:r>
      <w:r w:rsidRPr="00844757">
        <w:rPr>
          <w:rFonts w:ascii="仿宋" w:eastAsia="仿宋" w:hAnsi="仿宋" w:cs="宋体"/>
          <w:bCs/>
          <w:color w:val="333333"/>
          <w:kern w:val="0"/>
          <w:sz w:val="24"/>
          <w:szCs w:val="24"/>
        </w:rPr>
        <w:t>有的学院存档材料不齐全</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论文未填写学院领导小组意见</w:t>
      </w:r>
      <w:r w:rsidRPr="00844757">
        <w:rPr>
          <w:rFonts w:ascii="仿宋" w:eastAsia="仿宋" w:hAnsi="仿宋" w:cs="宋体" w:hint="eastAsia"/>
          <w:bCs/>
          <w:color w:val="333333"/>
          <w:kern w:val="0"/>
          <w:sz w:val="24"/>
          <w:szCs w:val="24"/>
        </w:rPr>
        <w:t>，缺答辩小组评分表。</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（二）毕业论文（设计）质量方面</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1.选题</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有的论文选题偏大、偏难，超出本科学生能力和水平，且和内容不贴切、不吻合；有的毕业论文（设计）内容针对性不强，选题价值不高，质量偏低。</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2.写作规范</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lastRenderedPageBreak/>
        <w:t>（1）论文格式不够规范性问题较普遍，学术规范管理需进一步改进。有的基本数据、论文结构不够完善；有的课题申请表未填写日期，没有院系领导小组签字，无院答辩委员会审核意见；有的论文封面没有去掉页眉，有的字号、行距不统一，有的参考文献没有序号等。</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有的论文参考文献不足，只有7篇，不能支撑论文论证需要；有的没有外文参考文献；有的参考文献没有被引用。部分参阅资料未列入论文参考文献中，也未在论文中注明。有的文中表格引用数据没有标明资料来源。有的样本偏小。有的论文1/</w:t>
      </w:r>
      <w:r w:rsidRPr="00844757">
        <w:rPr>
          <w:rFonts w:ascii="仿宋" w:eastAsia="仿宋" w:hAnsi="仿宋" w:cs="宋体"/>
          <w:bCs/>
          <w:color w:val="333333"/>
          <w:kern w:val="0"/>
          <w:sz w:val="24"/>
          <w:szCs w:val="24"/>
        </w:rPr>
        <w:t>3的文献来自于百度百科</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学术性有欠缺</w:t>
      </w:r>
      <w:r w:rsidRPr="00844757">
        <w:rPr>
          <w:rFonts w:ascii="仿宋" w:eastAsia="仿宋" w:hAnsi="仿宋" w:cs="宋体" w:hint="eastAsia"/>
          <w:bCs/>
          <w:color w:val="333333"/>
          <w:kern w:val="0"/>
          <w:sz w:val="24"/>
          <w:szCs w:val="24"/>
        </w:rPr>
        <w:t>。也有部分论文参考文献达到4</w:t>
      </w:r>
      <w:r w:rsidRPr="00844757">
        <w:rPr>
          <w:rFonts w:ascii="仿宋" w:eastAsia="仿宋" w:hAnsi="仿宋" w:cs="宋体"/>
          <w:bCs/>
          <w:color w:val="333333"/>
          <w:kern w:val="0"/>
          <w:sz w:val="24"/>
          <w:szCs w:val="24"/>
        </w:rPr>
        <w:t>0篇以上</w:t>
      </w:r>
      <w:r w:rsidRPr="00844757">
        <w:rPr>
          <w:rFonts w:ascii="仿宋" w:eastAsia="仿宋" w:hAnsi="仿宋" w:cs="宋体" w:hint="eastAsia"/>
          <w:bCs/>
          <w:color w:val="333333"/>
          <w:kern w:val="0"/>
          <w:sz w:val="24"/>
          <w:szCs w:val="24"/>
        </w:rPr>
        <w:t>，甚至50篇以上，</w:t>
      </w:r>
      <w:r w:rsidRPr="00844757">
        <w:rPr>
          <w:rFonts w:ascii="仿宋" w:eastAsia="仿宋" w:hAnsi="仿宋" w:cs="宋体"/>
          <w:bCs/>
          <w:color w:val="333333"/>
          <w:kern w:val="0"/>
          <w:sz w:val="24"/>
          <w:szCs w:val="24"/>
        </w:rPr>
        <w:t>且</w:t>
      </w:r>
      <w:r w:rsidRPr="00844757">
        <w:rPr>
          <w:rFonts w:ascii="仿宋" w:eastAsia="仿宋" w:hAnsi="仿宋" w:cs="宋体" w:hint="eastAsia"/>
          <w:bCs/>
          <w:color w:val="333333"/>
          <w:kern w:val="0"/>
          <w:sz w:val="24"/>
          <w:szCs w:val="24"/>
        </w:rPr>
        <w:t>9</w:t>
      </w:r>
      <w:r w:rsidRPr="00844757">
        <w:rPr>
          <w:rFonts w:ascii="仿宋" w:eastAsia="仿宋" w:hAnsi="仿宋" w:cs="宋体"/>
          <w:bCs/>
          <w:color w:val="333333"/>
          <w:kern w:val="0"/>
          <w:sz w:val="24"/>
          <w:szCs w:val="24"/>
        </w:rPr>
        <w:t>0</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以上是英文</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与论文内容相关度比较低</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有过度引用和罗列凑数之嫌</w:t>
      </w:r>
      <w:r w:rsidRPr="00844757">
        <w:rPr>
          <w:rFonts w:ascii="仿宋" w:eastAsia="仿宋" w:hAnsi="仿宋" w:cs="宋体" w:hint="eastAsia"/>
          <w:bCs/>
          <w:color w:val="333333"/>
          <w:kern w:val="0"/>
          <w:sz w:val="24"/>
          <w:szCs w:val="24"/>
        </w:rPr>
        <w:t>。</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3.能力水平方面</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w:t>
      </w:r>
      <w:r w:rsidRPr="00844757">
        <w:rPr>
          <w:rFonts w:ascii="仿宋" w:eastAsia="仿宋" w:hAnsi="仿宋" w:cs="宋体"/>
          <w:bCs/>
          <w:color w:val="333333"/>
          <w:kern w:val="0"/>
          <w:sz w:val="24"/>
          <w:szCs w:val="24"/>
        </w:rPr>
        <w:t>存在论文写作过分强调字数</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忽视论文质量的倾向</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有些论文前言太长</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以图表代讨论</w:t>
      </w:r>
      <w:r w:rsidRPr="00844757">
        <w:rPr>
          <w:rFonts w:ascii="仿宋" w:eastAsia="仿宋" w:hAnsi="仿宋" w:cs="宋体" w:hint="eastAsia"/>
          <w:bCs/>
          <w:color w:val="333333"/>
          <w:kern w:val="0"/>
          <w:sz w:val="24"/>
          <w:szCs w:val="24"/>
        </w:rPr>
        <w:t>。有的论文最后的政策建议过于宽泛，缺乏可操作性。有的论文数据资料挖掘深度不够，讨论部分过于简单，逻辑层次不清晰，分析不透彻、不深入。</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（2）有的理工科论文只是记录实验过程，没有结果，没有讨论。有的论文实验过程没有得到有效指导，实验结果可靠性比较差。</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三、</w:t>
      </w:r>
      <w:r w:rsidRPr="00844757">
        <w:rPr>
          <w:rFonts w:ascii="仿宋" w:eastAsia="仿宋" w:hAnsi="仿宋" w:cs="宋体" w:hint="eastAsia"/>
          <w:bCs/>
          <w:color w:val="333333"/>
          <w:kern w:val="0"/>
          <w:sz w:val="24"/>
          <w:szCs w:val="24"/>
        </w:rPr>
        <w:t>评估专家组的建议</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1.进一步提高对毕业论文（设计）的重视程度，加强组织领导和工作指导。</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加强对学生研究方法学习和应用的培训，通过毕业论文（设计）提高学生发现问题、分析问题和解决问题的能力。在毕业论文评估中发现有些学院毕业论文撰写格式不规范问题较为突出，而有的学院规范性普遍较好，根本问题在于管理是否到位。为加强毕业论文格式的规范化，督学建议进一步提高对毕业论文（设计）工作的重视程度，进一步严格要求、加强指导，保证每个学生都熟悉毕业论文撰写的规范要求，保证学校毕业论文的模板方便可查。</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2.督促毕业论文指导教师认真履行职责，强化指导作用</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在毕业论文《任务表》、《指导记录》和《成绩评定表》中，督学发现本应该由教师填写的内容在有些毕业论文中明显表现出由学生填写的痕迹，出现了很多不应有的问题，督学认为这不仅不严肃，同时也影响了学生对毕业论文的重视程度。对此，督学建议明确要求教师填写内容必须由教师亲自填写，不能由学生代写代填，学院要督促指导教师认真履行职责、提高指导质量。</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lastRenderedPageBreak/>
        <w:t>3</w:t>
      </w:r>
      <w:r w:rsidRPr="00844757">
        <w:rPr>
          <w:rFonts w:ascii="仿宋" w:eastAsia="仿宋" w:hAnsi="仿宋" w:cs="宋体"/>
          <w:bCs/>
          <w:color w:val="333333"/>
          <w:kern w:val="0"/>
          <w:sz w:val="24"/>
          <w:szCs w:val="24"/>
        </w:rPr>
        <w:t>.</w:t>
      </w:r>
      <w:r w:rsidRPr="00844757">
        <w:rPr>
          <w:rFonts w:ascii="仿宋" w:eastAsia="仿宋" w:hAnsi="仿宋" w:cs="宋体" w:hint="eastAsia"/>
          <w:bCs/>
          <w:color w:val="333333"/>
          <w:kern w:val="0"/>
          <w:sz w:val="24"/>
          <w:szCs w:val="24"/>
        </w:rPr>
        <w:t>进一步加强毕业论文答辩过程管理</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毕业论文答辩是毕业论文管理的重要环节。有的学院毕业论文答辩记录过于简单，甚至完全没有具体内容，而且还以答辩小组给定的成绩为最终成绩。为全面提高毕业论文管理水平，促进毕业论文质量提升，督学建议各学院必须严格答辩过程管理，要求答辩小组认真做好答辩记录，力求客观反映答辩真实水平。</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4.</w:t>
      </w:r>
      <w:r w:rsidRPr="00844757">
        <w:rPr>
          <w:rFonts w:ascii="仿宋" w:eastAsia="仿宋" w:hAnsi="仿宋" w:cs="宋体" w:hint="eastAsia"/>
          <w:bCs/>
          <w:color w:val="333333"/>
          <w:kern w:val="0"/>
          <w:sz w:val="24"/>
          <w:szCs w:val="24"/>
        </w:rPr>
        <w:t>进一步完善毕业论文成绩评定管理</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毕业论文评定方面，有的学院为应对学校关于优良比例不超过65%的要求，出现了论文评语与成绩不一致、指导教师和评阅教师与答辩小组成绩差异过大等一些不合理现象。督学建议学校相关文件保留优秀比例不超过15%的要求，对良好比例不做限制，即取消优良比例不超过65%的要求。</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5</w:t>
      </w:r>
      <w:r w:rsidRPr="00844757">
        <w:rPr>
          <w:rFonts w:ascii="仿宋" w:eastAsia="仿宋" w:hAnsi="仿宋" w:cs="宋体"/>
          <w:bCs/>
          <w:color w:val="333333"/>
          <w:kern w:val="0"/>
          <w:sz w:val="24"/>
          <w:szCs w:val="24"/>
        </w:rPr>
        <w:t>.进一步完善管理规则</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切实提高论文规范程度和质量</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督学建议</w:t>
      </w:r>
      <w:r w:rsidRPr="00844757">
        <w:rPr>
          <w:rFonts w:ascii="仿宋" w:eastAsia="仿宋" w:hAnsi="仿宋" w:cs="宋体" w:hint="eastAsia"/>
          <w:bCs/>
          <w:color w:val="333333"/>
          <w:kern w:val="0"/>
          <w:sz w:val="24"/>
          <w:szCs w:val="24"/>
        </w:rPr>
        <w:t>细化管理规则，提高可操作性。论文和相关文档的过程性管理环节要加强，报告和分析要详实，指导教师的评语要写实。学术规范管理要加强，基本数据、格式、论文结构要进一步完善。</w:t>
      </w:r>
    </w:p>
    <w:p w:rsidR="00E84AFC" w:rsidRPr="00844757"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督学建议论文写作过分强调字数</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忽略结构和内在质量的倾向</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讨论部分应成为论文的主体</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因为该部分能反映出学生的能力和水平</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该部分不应只是一些图和表</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要有对结果的分析和比较</w:t>
      </w:r>
      <w:r w:rsidRPr="00844757">
        <w:rPr>
          <w:rFonts w:ascii="仿宋" w:eastAsia="仿宋" w:hAnsi="仿宋" w:cs="宋体" w:hint="eastAsia"/>
          <w:bCs/>
          <w:color w:val="333333"/>
          <w:kern w:val="0"/>
          <w:sz w:val="24"/>
          <w:szCs w:val="24"/>
        </w:rPr>
        <w:t>。</w:t>
      </w:r>
    </w:p>
    <w:p w:rsidR="00E84AFC" w:rsidRDefault="00E84AFC" w:rsidP="0084475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督学</w:t>
      </w:r>
      <w:r w:rsidRPr="00844757">
        <w:rPr>
          <w:rFonts w:ascii="仿宋" w:eastAsia="仿宋" w:hAnsi="仿宋" w:cs="宋体" w:hint="eastAsia"/>
          <w:bCs/>
          <w:color w:val="333333"/>
          <w:kern w:val="0"/>
          <w:sz w:val="24"/>
          <w:szCs w:val="24"/>
        </w:rPr>
        <w:t>建议合理使用参考文献，适当采用英文文献，不要过多罗列，避免弄虚作假之嫌，从而培养学生优良的学风和严谨、扎实的工作作风。</w:t>
      </w:r>
    </w:p>
    <w:p w:rsidR="00844757" w:rsidRPr="00844757" w:rsidRDefault="00844757" w:rsidP="00844757">
      <w:pPr>
        <w:snapToGrid w:val="0"/>
        <w:spacing w:line="360" w:lineRule="auto"/>
        <w:ind w:firstLineChars="200" w:firstLine="480"/>
        <w:rPr>
          <w:rFonts w:ascii="仿宋" w:eastAsia="仿宋" w:hAnsi="仿宋" w:cs="宋体" w:hint="eastAsia"/>
          <w:bCs/>
          <w:color w:val="333333"/>
          <w:kern w:val="0"/>
          <w:sz w:val="24"/>
          <w:szCs w:val="24"/>
        </w:rPr>
      </w:pPr>
    </w:p>
    <w:p w:rsidR="00E84AFC" w:rsidRPr="00E84AFC" w:rsidRDefault="00E84AFC" w:rsidP="00E84AFC">
      <w:pPr>
        <w:snapToGrid w:val="0"/>
        <w:spacing w:beforeLines="50" w:before="156" w:afterLines="50" w:after="156" w:line="360" w:lineRule="auto"/>
        <w:ind w:firstLineChars="200" w:firstLine="482"/>
        <w:rPr>
          <w:rFonts w:ascii="仿宋" w:eastAsia="仿宋" w:hAnsi="仿宋"/>
          <w:b/>
          <w:bCs/>
          <w:color w:val="333333"/>
          <w:sz w:val="24"/>
          <w:szCs w:val="24"/>
        </w:rPr>
      </w:pPr>
      <w:r w:rsidRPr="00E61096">
        <w:rPr>
          <w:rFonts w:ascii="仿宋" w:eastAsia="仿宋" w:hAnsi="仿宋" w:hint="eastAsia"/>
          <w:b/>
          <w:bCs/>
          <w:color w:val="333333"/>
          <w:sz w:val="24"/>
          <w:szCs w:val="24"/>
        </w:rPr>
        <w:t>★</w:t>
      </w:r>
      <w:r w:rsidRPr="00E84AFC">
        <w:rPr>
          <w:rFonts w:ascii="仿宋" w:eastAsia="仿宋" w:hAnsi="仿宋" w:hint="eastAsia"/>
          <w:b/>
          <w:bCs/>
          <w:color w:val="333333"/>
          <w:sz w:val="24"/>
          <w:szCs w:val="24"/>
        </w:rPr>
        <w:t>河北大学2018-2019学年春学期本科课程考核试卷质量与管理评估分析报告</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2019年11月11日至12月13日，结合学校第二批本科专业评估，学校组织督学对27个教学单位以及团委、学生处和创新创业指导中心的本科课程考核试卷质量与管理情况进行专项评估。本次评估对象为学校普通本科专业人才培养方案开设的2018-2019学年春学期所有本科课程、所有考核方式的试卷，内容涵盖命题质量、试卷评阅与成绩评定、平时考核和试卷管理等四个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评估期间，督学认真负责，对课程考核材料逐项检查，填写《河北大学本科课程考核试卷质量与管理评价表》，提交本科课程考核试卷质量与管理评估分析报告，并就存在问题、整改建议与各教学单位及相关部门及时沟通。现就评估情况分析如下：</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lastRenderedPageBreak/>
        <w:t>一、总体情况</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本次评估共抽查试卷231门次，其中178门次评价为优秀，49门次评价为良好，4门次评价为合格。</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评估发现，多数试卷命题质量较高，试题类型较为丰富，题量适中，难易适宜，参考答案和评分标准符合规范；大部分教学单位试卷管理普遍较为规范，材料归档齐全，装订整齐；多数试卷评阅规范，成绩评价全面，平时成绩和期末成绩比例恰当，给定有依据。大多数学院能按照学校要求，组织人员对试卷进行自查自评，填写《河北大学本科课程考核试卷质量与管理评价表》，完成自评分析报告，各项自评材料存档齐全。</w:t>
      </w:r>
    </w:p>
    <w:p w:rsidR="00E84AFC" w:rsidRPr="00844757" w:rsidRDefault="00E84AFC" w:rsidP="00E84AFC">
      <w:pPr>
        <w:snapToGrid w:val="0"/>
        <w:spacing w:line="360" w:lineRule="auto"/>
        <w:ind w:firstLineChars="200" w:firstLine="480"/>
        <w:rPr>
          <w:rFonts w:ascii="仿宋" w:eastAsia="仿宋" w:hAnsi="仿宋" w:cs="宋体"/>
          <w:bCs/>
          <w:color w:val="333333"/>
          <w:kern w:val="0"/>
          <w:sz w:val="24"/>
          <w:szCs w:val="24"/>
        </w:rPr>
      </w:pP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二、各评估指标情况分析</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（一）命题质量</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总体来看，大多数试卷命题能够以教学大纲为依据，以检查学生对基本知识、理论和技能的掌握、考查学生分析和解决问题的能力为目的，覆盖该课程主要内容，难易适度，具有一定的广度、深度；试题表达清晰、完整、无内容错误；参考答案与评分标准总体符合学校要求。个别课程试卷存在如下问题：</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1.试题题型和题目方面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有的课程试题结构及分值分布仍不够合理，客观题、基础性题目分值偏高，开卷考试的试题类型少、试题难度较小、成绩分布不够合理。有的试卷A、B卷试题重复率超过15%。</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2.试题难易度方面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有的试题难度偏低，导致成绩偏高、优秀率偏高；有的试题难度偏大，导致学生成绩偏低、不及格率偏高。有的课程试题在不同专业考试成绩水平差异较大，难易程度反映不一致，存在同一门课程不及格率分别为61.4%，25.4%和38.9%的现象。</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3.试卷及答案规范方面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有的课程试卷(样卷)或参考答案的格式不符合学校统一的规范要求。有的以论文形式考核的课程，评分标准缺乏操作性。</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（二）试卷评阅与成绩评定</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总体来看，大多数学院老师都能按学校规范评阅试卷，如：阅卷采用给分制，要点分、题首分、卷首分等基本齐全、准确，无错判、漏判现象，阅卷与核分改动处有教师</w:t>
      </w:r>
      <w:r w:rsidRPr="00844757">
        <w:rPr>
          <w:rFonts w:ascii="仿宋" w:eastAsia="仿宋" w:hAnsi="仿宋" w:cs="宋体" w:hint="eastAsia"/>
          <w:bCs/>
          <w:color w:val="333333"/>
          <w:kern w:val="0"/>
          <w:sz w:val="24"/>
          <w:szCs w:val="24"/>
        </w:rPr>
        <w:lastRenderedPageBreak/>
        <w:t>签名，试卷评阅与成绩评定规范性在不断提高。发现的主要问题有：</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1.试卷评阅方面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个别教师阅卷仍存在不规范之处，如选择题错的未计0分，对的用√号等，题首分画圈或分数下面划线、成绩改动无签名。个别题给分书写不规范，无法识别和确定具体数字。</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2.成绩评定方面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平时成绩考核类型做到了多样化，但任课教师对平时成绩的评定没有一个严格的量化标准，导致平时成绩分值存在较大差异，评定不合理、不客观导致平时成绩偏高仍比较普遍，有的考核项目都是满分，缺乏区分度。有的平时成绩未注明出处来源。</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3.期末成绩统计分析方面</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试卷分析分析不够深入的问题依然普遍存在，绝大多数没有问题分析与改进措施。</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（三）试卷管理</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试卷管理规范性整体状况良好，归档资料基本齐全。主要发现如下问题：</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个别教学单位普遍缺少试卷审批表，或缺少成绩统计表和期末成绩统计分析表。有的教学单位没有进行自查，没有填写试卷质量评价表，也没有自评报告。存在不同科目英文试卷分析完全相同的现象。</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有的课程平时考核改分无签名，审批表中有代签名现象。有的期末考试成绩分析表、学生成绩登记表中均出现教师未签字的现象。有的考场报告单未签名。</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个别课程试卷缺少卷内目录或卷内目录无日期、无页次；归档目录不正规，没有使用学校统一的目录模板。个别存档材料顺序装反。个别学院试卷装订松散，部分试卷没有装订，试卷装订封面信息填写不完整等。</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三、督学提出的重点改进建议</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（一）持续提高命题质量</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1.深入分析学生与课程特点，改进课程目标与内容设置，进一步完善试题结构，合理设计试题数量、难易度与覆盖面，使得课程考核既能客观检验教学效果、实现课程目标要求，又能激发学生持续学习的兴趣和动力。</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2.对于题型，建议一般试卷题型要有四种以上，避免个别题目分值过大；开卷考试试题应为开放性题目，应具有一定难度，重点考核学生对所学知识的灵活应用能力。</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3.学院层面应进一步加强命题审查，强调对命题的原则要求，一是优化题型结构的</w:t>
      </w:r>
      <w:r w:rsidRPr="00844757">
        <w:rPr>
          <w:rFonts w:ascii="仿宋" w:eastAsia="仿宋" w:hAnsi="仿宋" w:cs="宋体" w:hint="eastAsia"/>
          <w:bCs/>
          <w:color w:val="333333"/>
          <w:kern w:val="0"/>
          <w:sz w:val="24"/>
          <w:szCs w:val="24"/>
        </w:rPr>
        <w:lastRenderedPageBreak/>
        <w:t>合理性，二是提高试卷、参考答案内容和格式的规范性，三是在试卷分析基础上适当调整试题难易度，保证成绩合理水平及分布。同时，进一步加强不同年度试题重复率的管理和检查。</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（二）进一步规范阅卷工作</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1.学院应加强对阅卷结果的复查，严格落实复查人责任。继续强调对试卷评阅及成绩评定的规范性认识，督促教师阅卷必须遵守学校的统一规范，如：题首分、要点分齐全，成绩改动须有本人签名，以论文形式考核的课程评分标准应明确具体且严格按评分标准逐项给分。</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2.学院应根据学校规定，针对本次试卷评估中发现的给分制、题首分位置、分数修改签名等问题，重点提醒相关教师，进一步规范阅卷程序。对于一门课多头的情况，学院或专业可专门进行研究，考虑流水判卷的必要性和可行性问题。</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3.加强对个别重点教师的阅卷指导，尤其对新入职教师阅卷工作给予必要指导，以保证新入职教师全面落实阅卷的规范要求。</w:t>
      </w:r>
    </w:p>
    <w:p w:rsidR="00E84AFC" w:rsidRPr="00844757" w:rsidRDefault="00E84AFC" w:rsidP="00E84AFC">
      <w:pPr>
        <w:snapToGrid w:val="0"/>
        <w:spacing w:line="360" w:lineRule="auto"/>
        <w:ind w:firstLineChars="200" w:firstLine="480"/>
        <w:rPr>
          <w:rFonts w:ascii="仿宋" w:eastAsia="仿宋" w:hAnsi="仿宋" w:cs="宋体" w:hint="eastAsia"/>
          <w:bCs/>
          <w:color w:val="333333"/>
          <w:kern w:val="0"/>
          <w:sz w:val="24"/>
          <w:szCs w:val="24"/>
        </w:rPr>
      </w:pPr>
      <w:r w:rsidRPr="00844757">
        <w:rPr>
          <w:rFonts w:ascii="仿宋" w:eastAsia="仿宋" w:hAnsi="仿宋" w:cs="宋体" w:hint="eastAsia"/>
          <w:bCs/>
          <w:color w:val="333333"/>
          <w:kern w:val="0"/>
          <w:sz w:val="24"/>
          <w:szCs w:val="24"/>
        </w:rPr>
        <w:t>（三）切实做好试卷分析</w:t>
      </w:r>
    </w:p>
    <w:p w:rsidR="009734A8" w:rsidRPr="00844757" w:rsidRDefault="00E84AFC" w:rsidP="00E84AFC">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任课教师应根据期末考试成绩情况，对考核方式、试题合理性以及考试成绩水平进行自我评估，分析存在的问题及问题产生的原因，提出下一次命题、授课、选择考核方式及阅卷的改进措施，在此基础上认真完成试卷分析环节的工作，试卷分析内容应力求全面、深入。</w:t>
      </w:r>
    </w:p>
    <w:sectPr w:rsidR="009734A8" w:rsidRPr="00844757" w:rsidSect="006436EC">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DA" w:rsidRDefault="00C173DA" w:rsidP="001E1848">
      <w:r>
        <w:separator/>
      </w:r>
    </w:p>
  </w:endnote>
  <w:endnote w:type="continuationSeparator" w:id="0">
    <w:p w:rsidR="00C173DA" w:rsidRDefault="00C173DA" w:rsidP="001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0"/>
      <w:gridCol w:w="7710"/>
    </w:tblGrid>
    <w:tr w:rsidR="009734A8">
      <w:tc>
        <w:tcPr>
          <w:tcW w:w="750" w:type="pct"/>
        </w:tcPr>
        <w:p w:rsidR="009734A8" w:rsidRDefault="00EF302E">
          <w:pPr>
            <w:pStyle w:val="a6"/>
            <w:jc w:val="right"/>
            <w:rPr>
              <w:color w:val="4F81BD" w:themeColor="accent1"/>
            </w:rPr>
          </w:pPr>
          <w:r>
            <w:rPr>
              <w:noProof/>
              <w:color w:val="4F81BD" w:themeColor="accent1"/>
              <w:lang w:val="zh-CN"/>
            </w:rPr>
            <w:fldChar w:fldCharType="begin"/>
          </w:r>
          <w:r>
            <w:rPr>
              <w:noProof/>
              <w:color w:val="4F81BD" w:themeColor="accent1"/>
              <w:lang w:val="zh-CN"/>
            </w:rPr>
            <w:instrText xml:space="preserve"> PAGE   \* MERGEFORMAT </w:instrText>
          </w:r>
          <w:r>
            <w:rPr>
              <w:noProof/>
              <w:color w:val="4F81BD" w:themeColor="accent1"/>
              <w:lang w:val="zh-CN"/>
            </w:rPr>
            <w:fldChar w:fldCharType="separate"/>
          </w:r>
          <w:r w:rsidR="00844757">
            <w:rPr>
              <w:noProof/>
              <w:color w:val="4F81BD" w:themeColor="accent1"/>
              <w:lang w:val="zh-CN"/>
            </w:rPr>
            <w:t>1</w:t>
          </w:r>
          <w:r>
            <w:rPr>
              <w:noProof/>
              <w:color w:val="4F81BD" w:themeColor="accent1"/>
              <w:lang w:val="zh-CN"/>
            </w:rPr>
            <w:fldChar w:fldCharType="end"/>
          </w:r>
        </w:p>
      </w:tc>
      <w:tc>
        <w:tcPr>
          <w:tcW w:w="4250" w:type="pct"/>
        </w:tcPr>
        <w:p w:rsidR="009734A8" w:rsidRDefault="009734A8">
          <w:pPr>
            <w:pStyle w:val="a6"/>
            <w:rPr>
              <w:color w:val="4F81BD" w:themeColor="accent1"/>
            </w:rPr>
          </w:pPr>
        </w:p>
      </w:tc>
    </w:tr>
  </w:tbl>
  <w:p w:rsidR="009734A8" w:rsidRDefault="00973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DA" w:rsidRDefault="00C173DA" w:rsidP="001E1848">
      <w:r>
        <w:separator/>
      </w:r>
    </w:p>
  </w:footnote>
  <w:footnote w:type="continuationSeparator" w:id="0">
    <w:p w:rsidR="00C173DA" w:rsidRDefault="00C173DA" w:rsidP="001E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A8" w:rsidRDefault="009734A8" w:rsidP="00575146">
    <w:pPr>
      <w:pStyle w:val="a5"/>
      <w:pBdr>
        <w:bottom w:val="none" w:sz="0" w:space="0" w:color="auto"/>
      </w:pBdr>
    </w:pPr>
  </w:p>
  <w:p w:rsidR="009734A8" w:rsidRDefault="009734A8" w:rsidP="005751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75"/>
    <w:rsid w:val="00012BD0"/>
    <w:rsid w:val="00024006"/>
    <w:rsid w:val="00024E68"/>
    <w:rsid w:val="00047F73"/>
    <w:rsid w:val="00084D51"/>
    <w:rsid w:val="001215B3"/>
    <w:rsid w:val="00180E40"/>
    <w:rsid w:val="00190E3E"/>
    <w:rsid w:val="001E1848"/>
    <w:rsid w:val="001E1F3E"/>
    <w:rsid w:val="001E5931"/>
    <w:rsid w:val="00200A41"/>
    <w:rsid w:val="00201DAC"/>
    <w:rsid w:val="002371F7"/>
    <w:rsid w:val="0026524C"/>
    <w:rsid w:val="002B7056"/>
    <w:rsid w:val="002B75F5"/>
    <w:rsid w:val="002C1234"/>
    <w:rsid w:val="002E55FF"/>
    <w:rsid w:val="002F3840"/>
    <w:rsid w:val="0030734D"/>
    <w:rsid w:val="003527BB"/>
    <w:rsid w:val="003D3E2B"/>
    <w:rsid w:val="003E5C83"/>
    <w:rsid w:val="003E7693"/>
    <w:rsid w:val="004021BD"/>
    <w:rsid w:val="004371E7"/>
    <w:rsid w:val="00445053"/>
    <w:rsid w:val="00445E2A"/>
    <w:rsid w:val="00485642"/>
    <w:rsid w:val="004C4502"/>
    <w:rsid w:val="00534142"/>
    <w:rsid w:val="005469D6"/>
    <w:rsid w:val="00554A51"/>
    <w:rsid w:val="00575146"/>
    <w:rsid w:val="005C417F"/>
    <w:rsid w:val="005F2ECD"/>
    <w:rsid w:val="00604B5A"/>
    <w:rsid w:val="006436EC"/>
    <w:rsid w:val="00644549"/>
    <w:rsid w:val="00682DCB"/>
    <w:rsid w:val="0069262E"/>
    <w:rsid w:val="00693A48"/>
    <w:rsid w:val="006B333F"/>
    <w:rsid w:val="006C3D70"/>
    <w:rsid w:val="006D6D70"/>
    <w:rsid w:val="006E3CAF"/>
    <w:rsid w:val="00730534"/>
    <w:rsid w:val="0075482E"/>
    <w:rsid w:val="00760C7E"/>
    <w:rsid w:val="007B1AD9"/>
    <w:rsid w:val="007C100C"/>
    <w:rsid w:val="007D1953"/>
    <w:rsid w:val="008058EA"/>
    <w:rsid w:val="00844757"/>
    <w:rsid w:val="00892E44"/>
    <w:rsid w:val="008E3275"/>
    <w:rsid w:val="0093306C"/>
    <w:rsid w:val="00966EAA"/>
    <w:rsid w:val="009734A8"/>
    <w:rsid w:val="00984539"/>
    <w:rsid w:val="009B7019"/>
    <w:rsid w:val="009C00EB"/>
    <w:rsid w:val="009C46FD"/>
    <w:rsid w:val="009D3E64"/>
    <w:rsid w:val="009F0132"/>
    <w:rsid w:val="00A66DA5"/>
    <w:rsid w:val="00A724D3"/>
    <w:rsid w:val="00AA5178"/>
    <w:rsid w:val="00B02B71"/>
    <w:rsid w:val="00B116B0"/>
    <w:rsid w:val="00B117A7"/>
    <w:rsid w:val="00B133AB"/>
    <w:rsid w:val="00BA7573"/>
    <w:rsid w:val="00BE38DA"/>
    <w:rsid w:val="00C00DC6"/>
    <w:rsid w:val="00C173DA"/>
    <w:rsid w:val="00C30897"/>
    <w:rsid w:val="00C85FF9"/>
    <w:rsid w:val="00CF54C0"/>
    <w:rsid w:val="00D0048D"/>
    <w:rsid w:val="00D01279"/>
    <w:rsid w:val="00D0404C"/>
    <w:rsid w:val="00D14E41"/>
    <w:rsid w:val="00D235CB"/>
    <w:rsid w:val="00D2366D"/>
    <w:rsid w:val="00D355C3"/>
    <w:rsid w:val="00D42124"/>
    <w:rsid w:val="00D467E9"/>
    <w:rsid w:val="00DC1F2C"/>
    <w:rsid w:val="00DE122C"/>
    <w:rsid w:val="00DF59D1"/>
    <w:rsid w:val="00E235F3"/>
    <w:rsid w:val="00E37D0A"/>
    <w:rsid w:val="00E56CE4"/>
    <w:rsid w:val="00E61096"/>
    <w:rsid w:val="00E84AFC"/>
    <w:rsid w:val="00E95167"/>
    <w:rsid w:val="00ED310B"/>
    <w:rsid w:val="00ED6212"/>
    <w:rsid w:val="00ED65D3"/>
    <w:rsid w:val="00EE6A6A"/>
    <w:rsid w:val="00EE6FEA"/>
    <w:rsid w:val="00EF302E"/>
    <w:rsid w:val="00F04C80"/>
    <w:rsid w:val="00F15B04"/>
    <w:rsid w:val="00F32D87"/>
    <w:rsid w:val="00F46695"/>
    <w:rsid w:val="00F66CA1"/>
    <w:rsid w:val="00F9734E"/>
    <w:rsid w:val="00FA7069"/>
    <w:rsid w:val="00FB4BEF"/>
    <w:rsid w:val="00FC06B3"/>
    <w:rsid w:val="00FE7F9C"/>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E8D68-B8B9-488C-99F9-28570BE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 w:type="paragraph" w:styleId="a8">
    <w:name w:val="Balloon Text"/>
    <w:basedOn w:val="a"/>
    <w:link w:val="Char1"/>
    <w:uiPriority w:val="99"/>
    <w:semiHidden/>
    <w:unhideWhenUsed/>
    <w:rsid w:val="0030734D"/>
    <w:rPr>
      <w:sz w:val="18"/>
      <w:szCs w:val="18"/>
    </w:rPr>
  </w:style>
  <w:style w:type="character" w:customStyle="1" w:styleId="Char1">
    <w:name w:val="批注框文本 Char"/>
    <w:basedOn w:val="a0"/>
    <w:link w:val="a8"/>
    <w:uiPriority w:val="99"/>
    <w:semiHidden/>
    <w:rsid w:val="0030734D"/>
    <w:rPr>
      <w:sz w:val="18"/>
      <w:szCs w:val="18"/>
    </w:rPr>
  </w:style>
  <w:style w:type="table" w:styleId="a9">
    <w:name w:val="Table Grid"/>
    <w:basedOn w:val="a1"/>
    <w:uiPriority w:val="59"/>
    <w:rsid w:val="009C4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2702">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330330017">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54059">
      <w:bodyDiv w:val="1"/>
      <w:marLeft w:val="0"/>
      <w:marRight w:val="0"/>
      <w:marTop w:val="0"/>
      <w:marBottom w:val="0"/>
      <w:divBdr>
        <w:top w:val="none" w:sz="0" w:space="0" w:color="auto"/>
        <w:left w:val="none" w:sz="0" w:space="0" w:color="auto"/>
        <w:bottom w:val="none" w:sz="0" w:space="0" w:color="auto"/>
        <w:right w:val="none" w:sz="0" w:space="0" w:color="auto"/>
      </w:divBdr>
    </w:div>
    <w:div w:id="1297026173">
      <w:bodyDiv w:val="1"/>
      <w:marLeft w:val="0"/>
      <w:marRight w:val="0"/>
      <w:marTop w:val="0"/>
      <w:marBottom w:val="0"/>
      <w:divBdr>
        <w:top w:val="none" w:sz="0" w:space="0" w:color="auto"/>
        <w:left w:val="none" w:sz="0" w:space="0" w:color="auto"/>
        <w:bottom w:val="none" w:sz="0" w:space="0" w:color="auto"/>
        <w:right w:val="none" w:sz="0" w:space="0" w:color="auto"/>
      </w:divBdr>
    </w:div>
    <w:div w:id="1492721632">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E2F8-8017-4265-AE5A-39542D29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GHZ</cp:lastModifiedBy>
  <cp:revision>2</cp:revision>
  <dcterms:created xsi:type="dcterms:W3CDTF">2020-01-12T03:14:00Z</dcterms:created>
  <dcterms:modified xsi:type="dcterms:W3CDTF">2020-01-12T03:14:00Z</dcterms:modified>
</cp:coreProperties>
</file>