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FD" w:rsidRPr="00963116" w:rsidRDefault="00981AFD" w:rsidP="00981AFD">
      <w:pPr>
        <w:widowControl/>
        <w:shd w:val="clear" w:color="auto" w:fill="FFFFFF"/>
        <w:spacing w:before="100" w:beforeAutospacing="1" w:after="100" w:afterAutospacing="1" w:line="264" w:lineRule="atLeast"/>
        <w:jc w:val="center"/>
        <w:outlineLvl w:val="4"/>
        <w:rPr>
          <w:rFonts w:ascii="Arial" w:eastAsia="宋体" w:hAnsi="Arial" w:cs="Arial"/>
          <w:b/>
          <w:bCs/>
          <w:color w:val="FF0000"/>
          <w:kern w:val="0"/>
          <w:sz w:val="32"/>
          <w:szCs w:val="32"/>
        </w:rPr>
      </w:pPr>
      <w:r w:rsidRPr="00963116">
        <w:rPr>
          <w:rFonts w:ascii="Arial" w:eastAsia="宋体" w:hAnsi="Arial" w:cs="Arial"/>
          <w:b/>
          <w:bCs/>
          <w:color w:val="333333"/>
          <w:kern w:val="0"/>
          <w:sz w:val="32"/>
          <w:szCs w:val="32"/>
        </w:rPr>
        <w:t>【督导简报】总第</w:t>
      </w:r>
      <w:r w:rsidRPr="00963116">
        <w:rPr>
          <w:rFonts w:ascii="Arial" w:eastAsia="宋体" w:hAnsi="Arial" w:cs="Arial"/>
          <w:b/>
          <w:bCs/>
          <w:color w:val="333333"/>
          <w:kern w:val="0"/>
          <w:sz w:val="32"/>
          <w:szCs w:val="32"/>
        </w:rPr>
        <w:t>0</w:t>
      </w:r>
      <w:r w:rsidR="00483BFE">
        <w:rPr>
          <w:rFonts w:ascii="Arial" w:eastAsia="宋体" w:hAnsi="Arial" w:cs="Arial" w:hint="eastAsia"/>
          <w:b/>
          <w:bCs/>
          <w:color w:val="333333"/>
          <w:kern w:val="0"/>
          <w:sz w:val="32"/>
          <w:szCs w:val="32"/>
        </w:rPr>
        <w:t>4</w:t>
      </w:r>
      <w:r w:rsidR="006B69B7">
        <w:rPr>
          <w:rFonts w:ascii="Arial" w:eastAsia="宋体" w:hAnsi="Arial" w:cs="Arial"/>
          <w:b/>
          <w:bCs/>
          <w:color w:val="333333"/>
          <w:kern w:val="0"/>
          <w:sz w:val="32"/>
          <w:szCs w:val="32"/>
        </w:rPr>
        <w:t>7</w:t>
      </w:r>
      <w:r w:rsidRPr="00963116">
        <w:rPr>
          <w:rFonts w:ascii="Arial" w:eastAsia="宋体" w:hAnsi="Arial" w:cs="Arial"/>
          <w:b/>
          <w:bCs/>
          <w:color w:val="333333"/>
          <w:kern w:val="0"/>
          <w:sz w:val="32"/>
          <w:szCs w:val="32"/>
        </w:rPr>
        <w:t>期</w:t>
      </w:r>
    </w:p>
    <w:p w:rsidR="00981AFD" w:rsidRPr="007F22DF" w:rsidRDefault="00981AFD" w:rsidP="00981AFD">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981AFD" w:rsidRDefault="00981AFD" w:rsidP="00981AFD">
      <w:pPr>
        <w:widowControl/>
        <w:shd w:val="clear" w:color="auto" w:fill="FFFFFF"/>
        <w:spacing w:line="360" w:lineRule="auto"/>
        <w:jc w:val="center"/>
        <w:rPr>
          <w:rFonts w:ascii="Arial" w:eastAsia="宋体" w:hAnsi="Arial" w:cs="Arial"/>
          <w:b/>
          <w:bCs/>
          <w:color w:val="FF0000"/>
          <w:kern w:val="0"/>
          <w:sz w:val="52"/>
          <w:szCs w:val="52"/>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981AFD" w:rsidRPr="007F22DF" w:rsidRDefault="00B026B8" w:rsidP="00981AFD">
      <w:pPr>
        <w:widowControl/>
        <w:shd w:val="clear" w:color="auto" w:fill="FFFFFF"/>
        <w:spacing w:before="120" w:line="320" w:lineRule="atLeast"/>
        <w:jc w:val="center"/>
        <w:rPr>
          <w:rFonts w:ascii="Arial" w:eastAsia="宋体" w:hAnsi="Arial" w:cs="Arial"/>
          <w:color w:val="333333"/>
          <w:kern w:val="0"/>
          <w:sz w:val="14"/>
          <w:szCs w:val="14"/>
        </w:rPr>
      </w:pPr>
      <w:r w:rsidRPr="00B026B8">
        <w:rPr>
          <w:rFonts w:ascii="宋体" w:eastAsia="宋体" w:hAnsi="宋体" w:cs="宋体" w:hint="eastAsia"/>
          <w:color w:val="555555"/>
          <w:kern w:val="0"/>
          <w:sz w:val="24"/>
          <w:szCs w:val="24"/>
        </w:rPr>
        <w:t>教育教学质量评估与教师发展中心</w:t>
      </w:r>
      <w:r w:rsidR="00981AFD" w:rsidRPr="008E3275">
        <w:rPr>
          <w:rFonts w:ascii="宋体" w:eastAsia="宋体" w:hAnsi="宋体" w:cs="宋体" w:hint="eastAsia"/>
          <w:color w:val="555555"/>
          <w:kern w:val="0"/>
          <w:sz w:val="24"/>
          <w:szCs w:val="24"/>
        </w:rPr>
        <w:t>  （第</w:t>
      </w:r>
      <w:r w:rsidR="00C20BE1">
        <w:rPr>
          <w:rFonts w:ascii="宋体" w:eastAsia="宋体" w:hAnsi="宋体" w:cs="宋体" w:hint="eastAsia"/>
          <w:color w:val="555555"/>
          <w:kern w:val="0"/>
          <w:sz w:val="24"/>
          <w:szCs w:val="24"/>
        </w:rPr>
        <w:t>四</w:t>
      </w:r>
      <w:r w:rsidR="00981AFD">
        <w:rPr>
          <w:rFonts w:ascii="宋体" w:eastAsia="宋体" w:hAnsi="宋体" w:cs="宋体" w:hint="eastAsia"/>
          <w:color w:val="555555"/>
          <w:kern w:val="0"/>
          <w:sz w:val="24"/>
          <w:szCs w:val="24"/>
        </w:rPr>
        <w:t>十</w:t>
      </w:r>
      <w:r w:rsidR="006B69B7">
        <w:rPr>
          <w:rFonts w:ascii="宋体" w:eastAsia="宋体" w:hAnsi="宋体" w:cs="宋体" w:hint="eastAsia"/>
          <w:color w:val="555555"/>
          <w:kern w:val="0"/>
          <w:sz w:val="24"/>
          <w:szCs w:val="24"/>
        </w:rPr>
        <w:t>七</w:t>
      </w:r>
      <w:r w:rsidR="00981AFD" w:rsidRPr="008E3275">
        <w:rPr>
          <w:rFonts w:ascii="宋体" w:eastAsia="宋体" w:hAnsi="宋体" w:cs="宋体" w:hint="eastAsia"/>
          <w:color w:val="555555"/>
          <w:kern w:val="0"/>
          <w:sz w:val="24"/>
          <w:szCs w:val="24"/>
        </w:rPr>
        <w:t>期）  </w:t>
      </w:r>
      <w:r w:rsidR="00981AFD">
        <w:rPr>
          <w:rFonts w:ascii="宋体" w:eastAsia="宋体" w:hAnsi="宋体" w:cs="宋体" w:hint="eastAsia"/>
          <w:color w:val="555555"/>
          <w:kern w:val="0"/>
          <w:sz w:val="24"/>
          <w:szCs w:val="24"/>
        </w:rPr>
        <w:t xml:space="preserve"> </w:t>
      </w:r>
      <w:r w:rsidR="00981AFD">
        <w:rPr>
          <w:rFonts w:ascii="宋体" w:eastAsia="宋体" w:hAnsi="宋体" w:cs="宋体" w:hint="eastAsia"/>
          <w:b/>
          <w:bCs/>
          <w:color w:val="555555"/>
          <w:kern w:val="0"/>
          <w:sz w:val="24"/>
          <w:szCs w:val="24"/>
        </w:rPr>
        <w:t>2</w:t>
      </w:r>
      <w:r w:rsidR="006B69B7">
        <w:rPr>
          <w:rFonts w:ascii="宋体" w:eastAsia="宋体" w:hAnsi="宋体" w:cs="宋体" w:hint="eastAsia"/>
          <w:b/>
          <w:bCs/>
          <w:color w:val="555555"/>
          <w:kern w:val="0"/>
          <w:sz w:val="24"/>
          <w:szCs w:val="24"/>
        </w:rPr>
        <w:t>0</w:t>
      </w:r>
      <w:r w:rsidR="006B69B7">
        <w:rPr>
          <w:rFonts w:ascii="宋体" w:eastAsia="宋体" w:hAnsi="宋体" w:cs="宋体"/>
          <w:b/>
          <w:bCs/>
          <w:color w:val="555555"/>
          <w:kern w:val="0"/>
          <w:sz w:val="24"/>
          <w:szCs w:val="24"/>
        </w:rPr>
        <w:t>20</w:t>
      </w:r>
      <w:r w:rsidR="00981AFD" w:rsidRPr="008E3275">
        <w:rPr>
          <w:rFonts w:ascii="宋体" w:eastAsia="宋体" w:hAnsi="宋体" w:cs="宋体" w:hint="eastAsia"/>
          <w:b/>
          <w:bCs/>
          <w:color w:val="555555"/>
          <w:kern w:val="0"/>
          <w:sz w:val="24"/>
          <w:szCs w:val="24"/>
        </w:rPr>
        <w:t>年</w:t>
      </w:r>
      <w:r>
        <w:rPr>
          <w:rFonts w:ascii="宋体" w:eastAsia="宋体" w:hAnsi="宋体" w:cs="宋体"/>
          <w:b/>
          <w:bCs/>
          <w:color w:val="555555"/>
          <w:kern w:val="0"/>
          <w:sz w:val="24"/>
          <w:szCs w:val="24"/>
        </w:rPr>
        <w:t>1</w:t>
      </w:r>
      <w:r w:rsidR="00981AFD" w:rsidRPr="008E3275">
        <w:rPr>
          <w:rFonts w:ascii="宋体" w:eastAsia="宋体" w:hAnsi="宋体" w:cs="宋体" w:hint="eastAsia"/>
          <w:b/>
          <w:bCs/>
          <w:color w:val="555555"/>
          <w:kern w:val="0"/>
          <w:sz w:val="24"/>
          <w:szCs w:val="24"/>
        </w:rPr>
        <w:t>月</w:t>
      </w:r>
      <w:r w:rsidR="006B69B7">
        <w:rPr>
          <w:rFonts w:ascii="宋体" w:eastAsia="宋体" w:hAnsi="宋体" w:cs="宋体"/>
          <w:b/>
          <w:bCs/>
          <w:color w:val="555555"/>
          <w:kern w:val="0"/>
          <w:sz w:val="24"/>
          <w:szCs w:val="24"/>
        </w:rPr>
        <w:t>12</w:t>
      </w:r>
      <w:r w:rsidR="00981AFD" w:rsidRPr="008E3275">
        <w:rPr>
          <w:rFonts w:ascii="宋体" w:eastAsia="宋体" w:hAnsi="宋体" w:cs="宋体" w:hint="eastAsia"/>
          <w:b/>
          <w:bCs/>
          <w:color w:val="555555"/>
          <w:kern w:val="0"/>
          <w:sz w:val="24"/>
          <w:szCs w:val="24"/>
        </w:rPr>
        <w:t>日</w:t>
      </w:r>
    </w:p>
    <w:p w:rsidR="00981AFD" w:rsidRPr="007F22DF" w:rsidRDefault="00981AFD" w:rsidP="00981AFD">
      <w:pPr>
        <w:widowControl/>
        <w:shd w:val="clear" w:color="auto" w:fill="FFFFFF"/>
        <w:tabs>
          <w:tab w:val="left" w:pos="6096"/>
        </w:tabs>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FE6C66" w:rsidRDefault="00892E44" w:rsidP="006C68CF">
      <w:pPr>
        <w:widowControl/>
        <w:shd w:val="clear" w:color="auto" w:fill="FFFFFF"/>
        <w:spacing w:beforeLines="50" w:before="156" w:afterLines="50" w:after="156" w:line="360" w:lineRule="auto"/>
        <w:ind w:firstLineChars="200" w:firstLine="480"/>
        <w:jc w:val="left"/>
        <w:rPr>
          <w:rFonts w:asciiTheme="majorEastAsia" w:eastAsiaTheme="majorEastAsia" w:hAnsiTheme="majorEastAsia" w:cs="宋体"/>
          <w:b/>
          <w:color w:val="333333"/>
          <w:kern w:val="0"/>
          <w:sz w:val="24"/>
          <w:szCs w:val="24"/>
        </w:rPr>
      </w:pPr>
      <w:r>
        <w:rPr>
          <w:rFonts w:ascii="宋体" w:eastAsia="仿宋" w:hAnsi="宋体" w:cs="宋体" w:hint="eastAsia"/>
          <w:color w:val="333333"/>
          <w:kern w:val="0"/>
          <w:sz w:val="24"/>
          <w:szCs w:val="24"/>
        </w:rPr>
        <w:t xml:space="preserve"> </w:t>
      </w:r>
      <w:r w:rsidR="008E3275" w:rsidRPr="00981AFD">
        <w:rPr>
          <w:rFonts w:asciiTheme="majorEastAsia" w:eastAsiaTheme="majorEastAsia" w:hAnsiTheme="majorEastAsia" w:cs="宋体" w:hint="eastAsia"/>
          <w:b/>
          <w:color w:val="333333"/>
          <w:kern w:val="0"/>
          <w:sz w:val="24"/>
          <w:szCs w:val="24"/>
        </w:rPr>
        <w:t>本期导读</w:t>
      </w:r>
    </w:p>
    <w:p w:rsidR="006B69B7" w:rsidRPr="00844757" w:rsidRDefault="006B69B7" w:rsidP="006B69B7">
      <w:pPr>
        <w:snapToGrid w:val="0"/>
        <w:spacing w:beforeLines="50" w:before="156" w:afterLines="50" w:after="156" w:line="360" w:lineRule="auto"/>
        <w:ind w:firstLineChars="200" w:firstLine="482"/>
        <w:rPr>
          <w:rFonts w:ascii="仿宋" w:eastAsia="仿宋" w:hAnsi="仿宋"/>
          <w:b/>
          <w:bCs/>
          <w:color w:val="333333"/>
          <w:sz w:val="24"/>
          <w:szCs w:val="24"/>
        </w:rPr>
      </w:pPr>
      <w:r w:rsidRPr="00844757">
        <w:rPr>
          <w:rFonts w:ascii="仿宋" w:eastAsia="仿宋" w:hAnsi="仿宋" w:hint="eastAsia"/>
          <w:b/>
          <w:bCs/>
          <w:color w:val="333333"/>
          <w:sz w:val="24"/>
          <w:szCs w:val="24"/>
        </w:rPr>
        <w:t>★河北大学2019届本科生毕业论文（设计）评估分析报告</w:t>
      </w:r>
    </w:p>
    <w:p w:rsidR="006B69B7" w:rsidRPr="00844757" w:rsidRDefault="006B69B7" w:rsidP="006B69B7">
      <w:pPr>
        <w:snapToGrid w:val="0"/>
        <w:spacing w:beforeLines="50" w:before="156" w:afterLines="50" w:after="156" w:line="360" w:lineRule="auto"/>
        <w:ind w:firstLineChars="200" w:firstLine="482"/>
        <w:rPr>
          <w:rFonts w:ascii="仿宋" w:eastAsia="仿宋" w:hAnsi="仿宋"/>
          <w:b/>
          <w:bCs/>
          <w:color w:val="333333"/>
          <w:sz w:val="24"/>
          <w:szCs w:val="24"/>
        </w:rPr>
      </w:pPr>
      <w:r w:rsidRPr="00844757">
        <w:rPr>
          <w:rFonts w:ascii="仿宋" w:eastAsia="仿宋" w:hAnsi="仿宋" w:hint="eastAsia"/>
          <w:b/>
          <w:bCs/>
          <w:color w:val="333333"/>
          <w:sz w:val="24"/>
          <w:szCs w:val="24"/>
        </w:rPr>
        <w:t>★河北大学2018-2019学年春学期本科课程考核试卷质量与管理评估分析报告</w:t>
      </w:r>
    </w:p>
    <w:p w:rsidR="006B69B7" w:rsidRPr="00844757" w:rsidRDefault="006B69B7" w:rsidP="006B69B7">
      <w:pPr>
        <w:snapToGrid w:val="0"/>
        <w:spacing w:beforeLines="50" w:before="156" w:afterLines="50" w:after="156" w:line="360" w:lineRule="auto"/>
        <w:ind w:firstLineChars="200" w:firstLine="482"/>
        <w:rPr>
          <w:rFonts w:ascii="仿宋" w:eastAsia="仿宋" w:hAnsi="仿宋"/>
          <w:b/>
          <w:bCs/>
          <w:color w:val="333333"/>
          <w:sz w:val="24"/>
          <w:szCs w:val="24"/>
        </w:rPr>
      </w:pPr>
    </w:p>
    <w:tbl>
      <w:tblPr>
        <w:tblW w:w="12300" w:type="dxa"/>
        <w:jc w:val="center"/>
        <w:tblCellSpacing w:w="0" w:type="dxa"/>
        <w:shd w:val="clear" w:color="auto" w:fill="FFFFFF"/>
        <w:tblCellMar>
          <w:left w:w="0" w:type="dxa"/>
          <w:right w:w="0" w:type="dxa"/>
        </w:tblCellMar>
        <w:tblLook w:val="04A0" w:firstRow="1" w:lastRow="0" w:firstColumn="1" w:lastColumn="0" w:noHBand="0" w:noVBand="1"/>
      </w:tblPr>
      <w:tblGrid>
        <w:gridCol w:w="12300"/>
      </w:tblGrid>
      <w:tr w:rsidR="006B69B7" w:rsidRPr="00E61096" w:rsidTr="004F1D31">
        <w:trPr>
          <w:tblCellSpacing w:w="0" w:type="dxa"/>
          <w:jc w:val="center"/>
        </w:trPr>
        <w:tc>
          <w:tcPr>
            <w:tcW w:w="12300" w:type="dxa"/>
            <w:tcBorders>
              <w:top w:val="nil"/>
              <w:left w:val="nil"/>
              <w:bottom w:val="nil"/>
              <w:right w:val="nil"/>
            </w:tcBorders>
            <w:shd w:val="clear" w:color="auto" w:fill="FFFFFF"/>
            <w:tcMar>
              <w:top w:w="150" w:type="dxa"/>
              <w:left w:w="150" w:type="dxa"/>
              <w:bottom w:w="150" w:type="dxa"/>
              <w:right w:w="150" w:type="dxa"/>
            </w:tcMar>
          </w:tcPr>
          <w:p w:rsidR="006B69B7" w:rsidRPr="00E61096" w:rsidRDefault="006B69B7" w:rsidP="004F1D31">
            <w:pPr>
              <w:widowControl/>
              <w:jc w:val="left"/>
              <w:rPr>
                <w:rFonts w:ascii="仿宋" w:eastAsia="仿宋" w:hAnsi="仿宋" w:cs="宋体"/>
                <w:bCs/>
                <w:color w:val="333333"/>
                <w:kern w:val="0"/>
                <w:sz w:val="24"/>
                <w:szCs w:val="24"/>
              </w:rPr>
            </w:pPr>
            <w:bookmarkStart w:id="0" w:name="_GoBack"/>
            <w:bookmarkEnd w:id="0"/>
          </w:p>
        </w:tc>
      </w:tr>
    </w:tbl>
    <w:p w:rsidR="006B69B7" w:rsidRPr="00844757" w:rsidRDefault="006B69B7" w:rsidP="006B69B7">
      <w:pPr>
        <w:snapToGrid w:val="0"/>
        <w:spacing w:line="360" w:lineRule="auto"/>
        <w:ind w:firstLineChars="200" w:firstLine="482"/>
        <w:rPr>
          <w:rFonts w:ascii="仿宋" w:eastAsia="仿宋" w:hAnsi="仿宋" w:cs="宋体"/>
          <w:bCs/>
          <w:color w:val="333333"/>
          <w:kern w:val="0"/>
          <w:sz w:val="24"/>
          <w:szCs w:val="24"/>
        </w:rPr>
      </w:pPr>
      <w:r w:rsidRPr="00844757">
        <w:rPr>
          <w:rFonts w:ascii="仿宋" w:eastAsia="仿宋" w:hAnsi="仿宋" w:hint="eastAsia"/>
          <w:b/>
          <w:bCs/>
          <w:color w:val="333333"/>
          <w:sz w:val="24"/>
          <w:szCs w:val="24"/>
        </w:rPr>
        <w:t>★</w:t>
      </w:r>
      <w:r w:rsidRPr="00844757">
        <w:rPr>
          <w:rFonts w:ascii="微软雅黑" w:eastAsia="微软雅黑" w:hAnsi="微软雅黑" w:hint="eastAsia"/>
          <w:b/>
          <w:bCs/>
          <w:color w:val="000000"/>
          <w:sz w:val="24"/>
          <w:szCs w:val="24"/>
          <w:shd w:val="clear" w:color="auto" w:fill="FFFFFF"/>
        </w:rPr>
        <w:t>河北大学2019届本科生毕业论文（设计）评估分析报告</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bCs/>
          <w:color w:val="333333"/>
          <w:kern w:val="0"/>
          <w:sz w:val="24"/>
          <w:szCs w:val="24"/>
        </w:rPr>
        <w:t>为进一步加强本科生毕业论文（设计）管理与监控力度，不断提高本科生毕业论文（设计）水平和质量，</w:t>
      </w:r>
      <w:r w:rsidRPr="00844757">
        <w:rPr>
          <w:rFonts w:ascii="仿宋" w:eastAsia="仿宋" w:hAnsi="仿宋" w:cs="宋体" w:hint="eastAsia"/>
          <w:bCs/>
          <w:color w:val="333333"/>
          <w:kern w:val="0"/>
          <w:sz w:val="24"/>
          <w:szCs w:val="24"/>
        </w:rPr>
        <w:t>201</w:t>
      </w:r>
      <w:r w:rsidRPr="00844757">
        <w:rPr>
          <w:rFonts w:ascii="仿宋" w:eastAsia="仿宋" w:hAnsi="仿宋" w:cs="宋体"/>
          <w:bCs/>
          <w:color w:val="333333"/>
          <w:kern w:val="0"/>
          <w:sz w:val="24"/>
          <w:szCs w:val="24"/>
        </w:rPr>
        <w:t>9</w:t>
      </w:r>
      <w:r w:rsidRPr="00844757">
        <w:rPr>
          <w:rFonts w:ascii="仿宋" w:eastAsia="仿宋" w:hAnsi="仿宋" w:cs="宋体" w:hint="eastAsia"/>
          <w:bCs/>
          <w:color w:val="333333"/>
          <w:kern w:val="0"/>
          <w:sz w:val="24"/>
          <w:szCs w:val="24"/>
        </w:rPr>
        <w:t>年</w:t>
      </w:r>
      <w:r w:rsidRPr="00844757">
        <w:rPr>
          <w:rFonts w:ascii="仿宋" w:eastAsia="仿宋" w:hAnsi="仿宋" w:cs="宋体"/>
          <w:bCs/>
          <w:color w:val="333333"/>
          <w:kern w:val="0"/>
          <w:sz w:val="24"/>
          <w:szCs w:val="24"/>
        </w:rPr>
        <w:t>11</w:t>
      </w:r>
      <w:r w:rsidRPr="00844757">
        <w:rPr>
          <w:rFonts w:ascii="仿宋" w:eastAsia="仿宋" w:hAnsi="仿宋" w:cs="宋体" w:hint="eastAsia"/>
          <w:bCs/>
          <w:color w:val="333333"/>
          <w:kern w:val="0"/>
          <w:sz w:val="24"/>
          <w:szCs w:val="24"/>
        </w:rPr>
        <w:t>月</w:t>
      </w:r>
      <w:r w:rsidRPr="00844757">
        <w:rPr>
          <w:rFonts w:ascii="仿宋" w:eastAsia="仿宋" w:hAnsi="仿宋" w:cs="宋体"/>
          <w:bCs/>
          <w:color w:val="333333"/>
          <w:kern w:val="0"/>
          <w:sz w:val="24"/>
          <w:szCs w:val="24"/>
        </w:rPr>
        <w:t>11</w:t>
      </w:r>
      <w:r w:rsidRPr="00844757">
        <w:rPr>
          <w:rFonts w:ascii="仿宋" w:eastAsia="仿宋" w:hAnsi="仿宋" w:cs="宋体" w:hint="eastAsia"/>
          <w:bCs/>
          <w:color w:val="333333"/>
          <w:kern w:val="0"/>
          <w:sz w:val="24"/>
          <w:szCs w:val="24"/>
        </w:rPr>
        <w:t>日至1</w:t>
      </w:r>
      <w:r w:rsidRPr="00844757">
        <w:rPr>
          <w:rFonts w:ascii="仿宋" w:eastAsia="仿宋" w:hAnsi="仿宋" w:cs="宋体"/>
          <w:bCs/>
          <w:color w:val="333333"/>
          <w:kern w:val="0"/>
          <w:sz w:val="24"/>
          <w:szCs w:val="24"/>
        </w:rPr>
        <w:t>2月</w:t>
      </w:r>
      <w:r w:rsidRPr="00844757">
        <w:rPr>
          <w:rFonts w:ascii="仿宋" w:eastAsia="仿宋" w:hAnsi="仿宋" w:cs="宋体" w:hint="eastAsia"/>
          <w:bCs/>
          <w:color w:val="333333"/>
          <w:kern w:val="0"/>
          <w:sz w:val="24"/>
          <w:szCs w:val="24"/>
        </w:rPr>
        <w:t>13日</w:t>
      </w:r>
      <w:r w:rsidRPr="00844757">
        <w:rPr>
          <w:rFonts w:ascii="仿宋" w:eastAsia="仿宋" w:hAnsi="仿宋" w:cs="宋体"/>
          <w:bCs/>
          <w:color w:val="333333"/>
          <w:kern w:val="0"/>
          <w:sz w:val="24"/>
          <w:szCs w:val="24"/>
        </w:rPr>
        <w:t>，</w:t>
      </w:r>
      <w:r w:rsidRPr="00844757">
        <w:rPr>
          <w:rFonts w:ascii="仿宋" w:eastAsia="仿宋" w:hAnsi="仿宋" w:cs="宋体" w:hint="eastAsia"/>
          <w:bCs/>
          <w:color w:val="333333"/>
          <w:kern w:val="0"/>
          <w:sz w:val="24"/>
          <w:szCs w:val="24"/>
        </w:rPr>
        <w:t>学校组织督学结合专业评估工作，分</w:t>
      </w:r>
      <w:r w:rsidRPr="00844757">
        <w:rPr>
          <w:rFonts w:ascii="仿宋" w:eastAsia="仿宋" w:hAnsi="仿宋" w:cs="宋体"/>
          <w:bCs/>
          <w:color w:val="333333"/>
          <w:kern w:val="0"/>
          <w:sz w:val="24"/>
          <w:szCs w:val="24"/>
        </w:rPr>
        <w:t>组</w:t>
      </w:r>
      <w:r w:rsidRPr="00844757">
        <w:rPr>
          <w:rFonts w:ascii="仿宋" w:eastAsia="仿宋" w:hAnsi="仿宋" w:cs="宋体" w:hint="eastAsia"/>
          <w:bCs/>
          <w:color w:val="333333"/>
          <w:kern w:val="0"/>
          <w:sz w:val="24"/>
          <w:szCs w:val="24"/>
        </w:rPr>
        <w:t>对201</w:t>
      </w:r>
      <w:r w:rsidRPr="00844757">
        <w:rPr>
          <w:rFonts w:ascii="仿宋" w:eastAsia="仿宋" w:hAnsi="仿宋" w:cs="宋体"/>
          <w:bCs/>
          <w:color w:val="333333"/>
          <w:kern w:val="0"/>
          <w:sz w:val="24"/>
          <w:szCs w:val="24"/>
        </w:rPr>
        <w:t>9</w:t>
      </w:r>
      <w:r w:rsidRPr="00844757">
        <w:rPr>
          <w:rFonts w:ascii="仿宋" w:eastAsia="仿宋" w:hAnsi="仿宋" w:cs="宋体" w:hint="eastAsia"/>
          <w:bCs/>
          <w:color w:val="333333"/>
          <w:kern w:val="0"/>
          <w:sz w:val="24"/>
          <w:szCs w:val="24"/>
        </w:rPr>
        <w:t>届本科生</w:t>
      </w:r>
      <w:r w:rsidRPr="00844757">
        <w:rPr>
          <w:rFonts w:ascii="仿宋" w:eastAsia="仿宋" w:hAnsi="仿宋" w:cs="宋体"/>
          <w:bCs/>
          <w:color w:val="333333"/>
          <w:kern w:val="0"/>
          <w:sz w:val="24"/>
          <w:szCs w:val="24"/>
        </w:rPr>
        <w:t>毕业论文（设计）</w:t>
      </w:r>
      <w:r w:rsidRPr="00844757">
        <w:rPr>
          <w:rFonts w:ascii="仿宋" w:eastAsia="仿宋" w:hAnsi="仿宋" w:cs="宋体" w:hint="eastAsia"/>
          <w:bCs/>
          <w:color w:val="333333"/>
          <w:kern w:val="0"/>
          <w:sz w:val="24"/>
          <w:szCs w:val="24"/>
        </w:rPr>
        <w:t>进行评估。评估结束后，教育教学质量评估与教师发展中心汇总专家组评估结果和意见建议，形成如下分析报告。</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一、总体情况</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本次评估范围涉及21个学院</w:t>
      </w:r>
      <w:r w:rsidRPr="00844757">
        <w:rPr>
          <w:rFonts w:ascii="仿宋" w:eastAsia="仿宋" w:hAnsi="仿宋" w:cs="宋体"/>
          <w:bCs/>
          <w:color w:val="333333"/>
          <w:kern w:val="0"/>
          <w:sz w:val="24"/>
          <w:szCs w:val="24"/>
        </w:rPr>
        <w:t>35</w:t>
      </w:r>
      <w:r w:rsidRPr="00844757">
        <w:rPr>
          <w:rFonts w:ascii="仿宋" w:eastAsia="仿宋" w:hAnsi="仿宋" w:cs="宋体" w:hint="eastAsia"/>
          <w:bCs/>
          <w:color w:val="333333"/>
          <w:kern w:val="0"/>
          <w:sz w:val="24"/>
          <w:szCs w:val="24"/>
        </w:rPr>
        <w:t>个专业，评估内容包括</w:t>
      </w:r>
      <w:r w:rsidRPr="00844757">
        <w:rPr>
          <w:rFonts w:ascii="仿宋" w:eastAsia="仿宋" w:hAnsi="仿宋" w:cs="宋体"/>
          <w:bCs/>
          <w:color w:val="333333"/>
          <w:kern w:val="0"/>
          <w:sz w:val="24"/>
          <w:szCs w:val="24"/>
        </w:rPr>
        <w:t>管理工作水平</w:t>
      </w:r>
      <w:r w:rsidRPr="00844757">
        <w:rPr>
          <w:rFonts w:ascii="仿宋" w:eastAsia="仿宋" w:hAnsi="仿宋" w:cs="宋体" w:hint="eastAsia"/>
          <w:bCs/>
          <w:color w:val="333333"/>
          <w:kern w:val="0"/>
          <w:sz w:val="24"/>
          <w:szCs w:val="24"/>
        </w:rPr>
        <w:t>质量</w:t>
      </w:r>
      <w:r w:rsidRPr="00844757">
        <w:rPr>
          <w:rFonts w:ascii="仿宋" w:eastAsia="仿宋" w:hAnsi="仿宋" w:cs="宋体"/>
          <w:bCs/>
          <w:color w:val="333333"/>
          <w:kern w:val="0"/>
          <w:sz w:val="24"/>
          <w:szCs w:val="24"/>
        </w:rPr>
        <w:t>和毕业论文（设计）</w:t>
      </w:r>
      <w:r w:rsidRPr="00844757">
        <w:rPr>
          <w:rFonts w:ascii="仿宋" w:eastAsia="仿宋" w:hAnsi="仿宋" w:cs="宋体" w:hint="eastAsia"/>
          <w:bCs/>
          <w:color w:val="333333"/>
          <w:kern w:val="0"/>
          <w:sz w:val="24"/>
          <w:szCs w:val="24"/>
        </w:rPr>
        <w:t>质量两大方面。</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学校评估</w:t>
      </w:r>
      <w:r w:rsidRPr="00844757">
        <w:rPr>
          <w:rFonts w:ascii="仿宋" w:eastAsia="仿宋" w:hAnsi="仿宋" w:cs="宋体"/>
          <w:bCs/>
          <w:color w:val="333333"/>
          <w:kern w:val="0"/>
          <w:sz w:val="24"/>
          <w:szCs w:val="24"/>
        </w:rPr>
        <w:t>在学院自评基础上进行</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主要采取</w:t>
      </w:r>
      <w:r w:rsidRPr="00844757">
        <w:rPr>
          <w:rFonts w:ascii="仿宋" w:eastAsia="仿宋" w:hAnsi="仿宋" w:cs="宋体" w:hint="eastAsia"/>
          <w:bCs/>
          <w:color w:val="333333"/>
          <w:kern w:val="0"/>
          <w:sz w:val="24"/>
          <w:szCs w:val="24"/>
        </w:rPr>
        <w:t>抽查毕业论文（设计）和</w:t>
      </w:r>
      <w:r w:rsidRPr="00844757">
        <w:rPr>
          <w:rFonts w:ascii="仿宋" w:eastAsia="仿宋" w:hAnsi="仿宋" w:cs="宋体"/>
          <w:bCs/>
          <w:color w:val="333333"/>
          <w:kern w:val="0"/>
          <w:sz w:val="24"/>
          <w:szCs w:val="24"/>
        </w:rPr>
        <w:t>查阅</w:t>
      </w:r>
      <w:r w:rsidRPr="00844757">
        <w:rPr>
          <w:rFonts w:ascii="仿宋" w:eastAsia="仿宋" w:hAnsi="仿宋" w:cs="宋体" w:hint="eastAsia"/>
          <w:bCs/>
          <w:color w:val="333333"/>
          <w:kern w:val="0"/>
          <w:sz w:val="24"/>
          <w:szCs w:val="24"/>
        </w:rPr>
        <w:t>相关归档</w:t>
      </w:r>
      <w:r w:rsidRPr="00844757">
        <w:rPr>
          <w:rFonts w:ascii="仿宋" w:eastAsia="仿宋" w:hAnsi="仿宋" w:cs="宋体"/>
          <w:bCs/>
          <w:color w:val="333333"/>
          <w:kern w:val="0"/>
          <w:sz w:val="24"/>
          <w:szCs w:val="24"/>
        </w:rPr>
        <w:t>资料的形式</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论文管理工作水平质量评价24</w:t>
      </w:r>
      <w:r w:rsidRPr="00844757">
        <w:rPr>
          <w:rFonts w:ascii="仿宋" w:eastAsia="仿宋" w:hAnsi="仿宋" w:cs="宋体" w:hint="eastAsia"/>
          <w:bCs/>
          <w:color w:val="333333"/>
          <w:kern w:val="0"/>
          <w:sz w:val="24"/>
          <w:szCs w:val="24"/>
        </w:rPr>
        <w:t>个专业被评为优秀，</w:t>
      </w:r>
      <w:r w:rsidRPr="00844757">
        <w:rPr>
          <w:rFonts w:ascii="仿宋" w:eastAsia="仿宋" w:hAnsi="仿宋" w:cs="宋体"/>
          <w:bCs/>
          <w:color w:val="333333"/>
          <w:kern w:val="0"/>
          <w:sz w:val="24"/>
          <w:szCs w:val="24"/>
        </w:rPr>
        <w:t>8</w:t>
      </w:r>
      <w:r w:rsidRPr="00844757">
        <w:rPr>
          <w:rFonts w:ascii="仿宋" w:eastAsia="仿宋" w:hAnsi="仿宋" w:cs="宋体" w:hint="eastAsia"/>
          <w:bCs/>
          <w:color w:val="333333"/>
          <w:kern w:val="0"/>
          <w:sz w:val="24"/>
          <w:szCs w:val="24"/>
        </w:rPr>
        <w:t>个专业被评为良好，3个专业被评为合格；</w:t>
      </w:r>
      <w:r w:rsidRPr="00844757">
        <w:rPr>
          <w:rFonts w:ascii="仿宋" w:eastAsia="仿宋" w:hAnsi="仿宋" w:cs="宋体"/>
          <w:bCs/>
          <w:color w:val="333333"/>
          <w:kern w:val="0"/>
          <w:sz w:val="24"/>
          <w:szCs w:val="24"/>
        </w:rPr>
        <w:t>毕业论文（设计）</w:t>
      </w:r>
      <w:r w:rsidRPr="00844757">
        <w:rPr>
          <w:rFonts w:ascii="仿宋" w:eastAsia="仿宋" w:hAnsi="仿宋" w:cs="宋体" w:hint="eastAsia"/>
          <w:bCs/>
          <w:color w:val="333333"/>
          <w:kern w:val="0"/>
          <w:sz w:val="24"/>
          <w:szCs w:val="24"/>
        </w:rPr>
        <w:t>质量评价共抽查</w:t>
      </w:r>
      <w:r w:rsidRPr="00844757">
        <w:rPr>
          <w:rFonts w:ascii="仿宋" w:eastAsia="仿宋" w:hAnsi="仿宋" w:cs="宋体"/>
          <w:bCs/>
          <w:color w:val="333333"/>
          <w:kern w:val="0"/>
          <w:sz w:val="24"/>
          <w:szCs w:val="24"/>
        </w:rPr>
        <w:t>310</w:t>
      </w:r>
      <w:r w:rsidRPr="00844757">
        <w:rPr>
          <w:rFonts w:ascii="仿宋" w:eastAsia="仿宋" w:hAnsi="仿宋" w:cs="宋体" w:hint="eastAsia"/>
          <w:bCs/>
          <w:color w:val="333333"/>
          <w:kern w:val="0"/>
          <w:sz w:val="24"/>
          <w:szCs w:val="24"/>
        </w:rPr>
        <w:t>份，1</w:t>
      </w:r>
      <w:r w:rsidRPr="00844757">
        <w:rPr>
          <w:rFonts w:ascii="仿宋" w:eastAsia="仿宋" w:hAnsi="仿宋" w:cs="宋体"/>
          <w:bCs/>
          <w:color w:val="333333"/>
          <w:kern w:val="0"/>
          <w:sz w:val="24"/>
          <w:szCs w:val="24"/>
        </w:rPr>
        <w:t>10</w:t>
      </w:r>
      <w:r w:rsidRPr="00844757">
        <w:rPr>
          <w:rFonts w:ascii="仿宋" w:eastAsia="仿宋" w:hAnsi="仿宋" w:cs="宋体" w:hint="eastAsia"/>
          <w:bCs/>
          <w:color w:val="333333"/>
          <w:kern w:val="0"/>
          <w:sz w:val="24"/>
          <w:szCs w:val="24"/>
        </w:rPr>
        <w:t>份论文被评为优秀，</w:t>
      </w:r>
      <w:r w:rsidRPr="00844757">
        <w:rPr>
          <w:rFonts w:ascii="仿宋" w:eastAsia="仿宋" w:hAnsi="仿宋" w:cs="宋体"/>
          <w:bCs/>
          <w:color w:val="333333"/>
          <w:kern w:val="0"/>
          <w:sz w:val="24"/>
          <w:szCs w:val="24"/>
        </w:rPr>
        <w:t>163</w:t>
      </w:r>
      <w:r w:rsidRPr="00844757">
        <w:rPr>
          <w:rFonts w:ascii="仿宋" w:eastAsia="仿宋" w:hAnsi="仿宋" w:cs="宋体" w:hint="eastAsia"/>
          <w:bCs/>
          <w:color w:val="333333"/>
          <w:kern w:val="0"/>
          <w:sz w:val="24"/>
          <w:szCs w:val="24"/>
        </w:rPr>
        <w:t>份论文被评为良好，</w:t>
      </w:r>
      <w:r w:rsidRPr="00844757">
        <w:rPr>
          <w:rFonts w:ascii="仿宋" w:eastAsia="仿宋" w:hAnsi="仿宋" w:cs="宋体"/>
          <w:bCs/>
          <w:color w:val="333333"/>
          <w:kern w:val="0"/>
          <w:sz w:val="24"/>
          <w:szCs w:val="24"/>
        </w:rPr>
        <w:t>37</w:t>
      </w:r>
      <w:r w:rsidRPr="00844757">
        <w:rPr>
          <w:rFonts w:ascii="仿宋" w:eastAsia="仿宋" w:hAnsi="仿宋" w:cs="宋体" w:hint="eastAsia"/>
          <w:bCs/>
          <w:color w:val="333333"/>
          <w:kern w:val="0"/>
          <w:sz w:val="24"/>
          <w:szCs w:val="24"/>
        </w:rPr>
        <w:t>份论文被评为合格。学院毕业论文（设计）工作综合评价9个学院被评为优秀，</w:t>
      </w:r>
      <w:r w:rsidRPr="00844757">
        <w:rPr>
          <w:rFonts w:ascii="仿宋" w:eastAsia="仿宋" w:hAnsi="仿宋" w:cs="宋体"/>
          <w:bCs/>
          <w:color w:val="333333"/>
          <w:kern w:val="0"/>
          <w:sz w:val="24"/>
          <w:szCs w:val="24"/>
        </w:rPr>
        <w:t>11</w:t>
      </w:r>
      <w:r w:rsidRPr="00844757">
        <w:rPr>
          <w:rFonts w:ascii="仿宋" w:eastAsia="仿宋" w:hAnsi="仿宋" w:cs="宋体" w:hint="eastAsia"/>
          <w:bCs/>
          <w:color w:val="333333"/>
          <w:kern w:val="0"/>
          <w:sz w:val="24"/>
          <w:szCs w:val="24"/>
        </w:rPr>
        <w:t>个学院为良好，1个学院</w:t>
      </w:r>
      <w:r w:rsidRPr="00844757">
        <w:rPr>
          <w:rFonts w:ascii="仿宋" w:eastAsia="仿宋" w:hAnsi="仿宋" w:cs="宋体" w:hint="eastAsia"/>
          <w:bCs/>
          <w:color w:val="333333"/>
          <w:kern w:val="0"/>
          <w:sz w:val="24"/>
          <w:szCs w:val="24"/>
        </w:rPr>
        <w:lastRenderedPageBreak/>
        <w:t>被评为合格。评估期间，</w:t>
      </w:r>
      <w:r w:rsidRPr="00844757">
        <w:rPr>
          <w:rFonts w:ascii="仿宋" w:eastAsia="仿宋" w:hAnsi="仿宋" w:cs="宋体"/>
          <w:bCs/>
          <w:color w:val="333333"/>
          <w:kern w:val="0"/>
          <w:sz w:val="24"/>
          <w:szCs w:val="24"/>
        </w:rPr>
        <w:t>专家组</w:t>
      </w:r>
      <w:r w:rsidRPr="00844757">
        <w:rPr>
          <w:rFonts w:ascii="仿宋" w:eastAsia="仿宋" w:hAnsi="仿宋" w:cs="宋体" w:hint="eastAsia"/>
          <w:bCs/>
          <w:color w:val="333333"/>
          <w:kern w:val="0"/>
          <w:sz w:val="24"/>
          <w:szCs w:val="24"/>
        </w:rPr>
        <w:t>成员认真负责，对论文等文档材料逐项检查，并提交了对毕业论文（设计）质量和管理进行综合评价的《河北大学本科生毕业论文（设计）评价表》。</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从评估结果来看，多数学院重视毕业论文（设计）工作，能够按照学校文件规定和相关要求开展工作，大部分指导教师认真负责，大多数学生态度端正，能较好按照《河北大学本科毕业论文（设计）撰写规范》的基本要求写作，选题适宜，观点明确，结构合理，资料丰富，表达流畅。</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二、存在问题</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（一）毕业论文（设计）管理工作水平方面</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 xml:space="preserve">1.指导教师 </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个别学院指导教师职称多为助教，不符合学校要求。</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2.指导过程</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有的指导老师指导质量不高，发现有指导老师用表没有指导内容。有的工作指导记录是学生口吻书写，有的进度安排明显不合理、不合规范。</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3.答辩</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有的答辩记录过于简单，缺少对论文内容的深入问答，有的没有具体问答，有的回答问题过于简单或问题数量偏少。另外，答辩评语的客观、全面、具体及语言规范性有待提高。个别学院存在答辩小组成员过少问题，仅为两人。有的答辩小组秘书同时是答辩小组成员，有的秘书、组长、成员均为同一个人。</w:t>
      </w:r>
      <w:r w:rsidRPr="00844757">
        <w:rPr>
          <w:rFonts w:ascii="仿宋" w:eastAsia="仿宋" w:hAnsi="仿宋" w:cs="宋体"/>
          <w:bCs/>
          <w:color w:val="333333"/>
          <w:kern w:val="0"/>
          <w:sz w:val="24"/>
          <w:szCs w:val="24"/>
        </w:rPr>
        <w:t>有答辩记录未填写答辩时间</w:t>
      </w:r>
      <w:r w:rsidRPr="00844757">
        <w:rPr>
          <w:rFonts w:ascii="仿宋" w:eastAsia="仿宋" w:hAnsi="仿宋" w:cs="宋体" w:hint="eastAsia"/>
          <w:bCs/>
          <w:color w:val="333333"/>
          <w:kern w:val="0"/>
          <w:sz w:val="24"/>
          <w:szCs w:val="24"/>
        </w:rPr>
        <w:t>。</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4.成绩评定</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有的专业没有明确的论文评分细则，最终成绩缺乏依据；有的论文指导教师、评阅老师和答辩小组给分差距偏大，</w:t>
      </w:r>
      <w:r w:rsidRPr="00844757">
        <w:rPr>
          <w:rFonts w:ascii="仿宋" w:eastAsia="仿宋" w:hAnsi="仿宋" w:cs="宋体"/>
          <w:bCs/>
          <w:color w:val="333333"/>
          <w:kern w:val="0"/>
          <w:sz w:val="24"/>
          <w:szCs w:val="24"/>
        </w:rPr>
        <w:t>影响评价权威性</w:t>
      </w:r>
      <w:r w:rsidRPr="00844757">
        <w:rPr>
          <w:rFonts w:ascii="仿宋" w:eastAsia="仿宋" w:hAnsi="仿宋" w:cs="宋体" w:hint="eastAsia"/>
          <w:bCs/>
          <w:color w:val="333333"/>
          <w:kern w:val="0"/>
          <w:sz w:val="24"/>
          <w:szCs w:val="24"/>
        </w:rPr>
        <w:t>。评分表存在修改未签名现象。有的成绩评定表有手写、有打印，格式不统一。</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5.自评分析</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有的学院自评报告没有涉及问题及整改内容。</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6.文档管理</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个别学院管理规则不够细化，可操作性差，论文和文档过程性管理环节薄弱。有的材料所有需签名处都打印，有的采用代签。</w:t>
      </w:r>
      <w:r w:rsidRPr="00844757">
        <w:rPr>
          <w:rFonts w:ascii="仿宋" w:eastAsia="仿宋" w:hAnsi="仿宋" w:cs="宋体"/>
          <w:bCs/>
          <w:color w:val="333333"/>
          <w:kern w:val="0"/>
          <w:sz w:val="24"/>
          <w:szCs w:val="24"/>
        </w:rPr>
        <w:t>有的学院存档材料不齐全</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论文未填写学院领导小组意见</w:t>
      </w:r>
      <w:r w:rsidRPr="00844757">
        <w:rPr>
          <w:rFonts w:ascii="仿宋" w:eastAsia="仿宋" w:hAnsi="仿宋" w:cs="宋体" w:hint="eastAsia"/>
          <w:bCs/>
          <w:color w:val="333333"/>
          <w:kern w:val="0"/>
          <w:sz w:val="24"/>
          <w:szCs w:val="24"/>
        </w:rPr>
        <w:t>，缺答辩小组评分表。</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lastRenderedPageBreak/>
        <w:t>（二）毕业论文（设计）质量方面</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1.选题</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有的论文选题偏大、偏难，超出本科学生能力和水平，且和内容不贴切、不吻合；有的毕业论文（设计）内容针对性不强，选题价值不高，质量偏低。</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2.写作规范</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1）论文格式不够规范性问题较普遍，学术规范管理需进一步改进。有的基本数据、论文结构不够完善；有的课题申请表未填写日期，没有院系领导小组签字，无院答辩委员会审核意见；有的论文封面没有去掉页眉，有的字号、行距不统一，有的参考文献没有序号等。</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2）有的论文参考文献不足，只有7篇，不能支撑论文论证需要；有的没有外文参考文献；有的参考文献没有被引用。部分参阅资料未列入论文参考文献中，也未在论文中注明。有的文中表格引用数据没有标明资料来源。有的样本偏小。有的论文1/</w:t>
      </w:r>
      <w:r w:rsidRPr="00844757">
        <w:rPr>
          <w:rFonts w:ascii="仿宋" w:eastAsia="仿宋" w:hAnsi="仿宋" w:cs="宋体"/>
          <w:bCs/>
          <w:color w:val="333333"/>
          <w:kern w:val="0"/>
          <w:sz w:val="24"/>
          <w:szCs w:val="24"/>
        </w:rPr>
        <w:t>3的文献来自于百度百科</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学术性有欠缺</w:t>
      </w:r>
      <w:r w:rsidRPr="00844757">
        <w:rPr>
          <w:rFonts w:ascii="仿宋" w:eastAsia="仿宋" w:hAnsi="仿宋" w:cs="宋体" w:hint="eastAsia"/>
          <w:bCs/>
          <w:color w:val="333333"/>
          <w:kern w:val="0"/>
          <w:sz w:val="24"/>
          <w:szCs w:val="24"/>
        </w:rPr>
        <w:t>。也有部分论文参考文献达到4</w:t>
      </w:r>
      <w:r w:rsidRPr="00844757">
        <w:rPr>
          <w:rFonts w:ascii="仿宋" w:eastAsia="仿宋" w:hAnsi="仿宋" w:cs="宋体"/>
          <w:bCs/>
          <w:color w:val="333333"/>
          <w:kern w:val="0"/>
          <w:sz w:val="24"/>
          <w:szCs w:val="24"/>
        </w:rPr>
        <w:t>0篇以上</w:t>
      </w:r>
      <w:r w:rsidRPr="00844757">
        <w:rPr>
          <w:rFonts w:ascii="仿宋" w:eastAsia="仿宋" w:hAnsi="仿宋" w:cs="宋体" w:hint="eastAsia"/>
          <w:bCs/>
          <w:color w:val="333333"/>
          <w:kern w:val="0"/>
          <w:sz w:val="24"/>
          <w:szCs w:val="24"/>
        </w:rPr>
        <w:t>，甚至50篇以上，</w:t>
      </w:r>
      <w:r w:rsidRPr="00844757">
        <w:rPr>
          <w:rFonts w:ascii="仿宋" w:eastAsia="仿宋" w:hAnsi="仿宋" w:cs="宋体"/>
          <w:bCs/>
          <w:color w:val="333333"/>
          <w:kern w:val="0"/>
          <w:sz w:val="24"/>
          <w:szCs w:val="24"/>
        </w:rPr>
        <w:t>且</w:t>
      </w:r>
      <w:r w:rsidRPr="00844757">
        <w:rPr>
          <w:rFonts w:ascii="仿宋" w:eastAsia="仿宋" w:hAnsi="仿宋" w:cs="宋体" w:hint="eastAsia"/>
          <w:bCs/>
          <w:color w:val="333333"/>
          <w:kern w:val="0"/>
          <w:sz w:val="24"/>
          <w:szCs w:val="24"/>
        </w:rPr>
        <w:t>9</w:t>
      </w:r>
      <w:r w:rsidRPr="00844757">
        <w:rPr>
          <w:rFonts w:ascii="仿宋" w:eastAsia="仿宋" w:hAnsi="仿宋" w:cs="宋体"/>
          <w:bCs/>
          <w:color w:val="333333"/>
          <w:kern w:val="0"/>
          <w:sz w:val="24"/>
          <w:szCs w:val="24"/>
        </w:rPr>
        <w:t>0</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以上是英文</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与论文内容相关度比较低</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有过度引用和罗列凑数之嫌</w:t>
      </w:r>
      <w:r w:rsidRPr="00844757">
        <w:rPr>
          <w:rFonts w:ascii="仿宋" w:eastAsia="仿宋" w:hAnsi="仿宋" w:cs="宋体" w:hint="eastAsia"/>
          <w:bCs/>
          <w:color w:val="333333"/>
          <w:kern w:val="0"/>
          <w:sz w:val="24"/>
          <w:szCs w:val="24"/>
        </w:rPr>
        <w:t>。</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3.能力水平方面</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（1）</w:t>
      </w:r>
      <w:r w:rsidRPr="00844757">
        <w:rPr>
          <w:rFonts w:ascii="仿宋" w:eastAsia="仿宋" w:hAnsi="仿宋" w:cs="宋体"/>
          <w:bCs/>
          <w:color w:val="333333"/>
          <w:kern w:val="0"/>
          <w:sz w:val="24"/>
          <w:szCs w:val="24"/>
        </w:rPr>
        <w:t>存在论文写作过分强调字数</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忽视论文质量的倾向</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有些论文前言太长</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以图表代讨论</w:t>
      </w:r>
      <w:r w:rsidRPr="00844757">
        <w:rPr>
          <w:rFonts w:ascii="仿宋" w:eastAsia="仿宋" w:hAnsi="仿宋" w:cs="宋体" w:hint="eastAsia"/>
          <w:bCs/>
          <w:color w:val="333333"/>
          <w:kern w:val="0"/>
          <w:sz w:val="24"/>
          <w:szCs w:val="24"/>
        </w:rPr>
        <w:t>。有的论文最后的政策建议过于宽泛，缺乏可操作性。有的论文数据资料挖掘深度不够，讨论部分过于简单，逻辑层次不清晰，分析不透彻、不深入。</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（2）有的理工科论文只是记录实验过程，没有结果，没有讨论。有的论文实验过程没有得到有效指导，实验结果可靠性比较差。</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bCs/>
          <w:color w:val="333333"/>
          <w:kern w:val="0"/>
          <w:sz w:val="24"/>
          <w:szCs w:val="24"/>
        </w:rPr>
        <w:t>三、</w:t>
      </w:r>
      <w:r w:rsidRPr="00844757">
        <w:rPr>
          <w:rFonts w:ascii="仿宋" w:eastAsia="仿宋" w:hAnsi="仿宋" w:cs="宋体" w:hint="eastAsia"/>
          <w:bCs/>
          <w:color w:val="333333"/>
          <w:kern w:val="0"/>
          <w:sz w:val="24"/>
          <w:szCs w:val="24"/>
        </w:rPr>
        <w:t>评估专家组的建议</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1.进一步提高对毕业论文（设计）的重视程度，加强组织领导和工作指导。</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加强对学生研究方法学习和应用的培训，通过毕业论文（设计）提高学生发现问题、分析问题和解决问题的能力。在毕业论文评估中发现有些学院毕业论文撰写格式不规范问题较为突出，而有的学院规范性普遍较好，根本问题在于管理是否到位。为加强毕业论文格式的规范化，督学建议进一步提高对毕业论文（设计）工作的重视程度，进一步严格要求、加强指导，保证每个学生都熟悉毕业论文撰写的规范要求，保证学校毕业论文的模板方便可查。</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lastRenderedPageBreak/>
        <w:t>2.督促毕业论文指导教师认真履行职责，强化指导作用</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在毕业论文《任务表》、《指导记录》和《成绩评定表》中，督学发现本应该由教师填写的内容在有些毕业论文中明显表现出由学生填写的痕迹，出现了很多不应有的问题，督学认为这不仅不严肃，同时也影响了学生对毕业论文的重视程度。对此，督学建议明确要求教师填写内容必须由教师亲自填写，不能由学生代写代填，学院要督促指导教师认真履行职责、提高指导质量。</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3</w:t>
      </w:r>
      <w:r w:rsidRPr="00844757">
        <w:rPr>
          <w:rFonts w:ascii="仿宋" w:eastAsia="仿宋" w:hAnsi="仿宋" w:cs="宋体"/>
          <w:bCs/>
          <w:color w:val="333333"/>
          <w:kern w:val="0"/>
          <w:sz w:val="24"/>
          <w:szCs w:val="24"/>
        </w:rPr>
        <w:t>.</w:t>
      </w:r>
      <w:r w:rsidRPr="00844757">
        <w:rPr>
          <w:rFonts w:ascii="仿宋" w:eastAsia="仿宋" w:hAnsi="仿宋" w:cs="宋体" w:hint="eastAsia"/>
          <w:bCs/>
          <w:color w:val="333333"/>
          <w:kern w:val="0"/>
          <w:sz w:val="24"/>
          <w:szCs w:val="24"/>
        </w:rPr>
        <w:t>进一步加强毕业论文答辩过程管理</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毕业论文答辩是毕业论文管理的重要环节。有的学院毕业论文答辩记录过于简单，甚至完全没有具体内容，而且还以答辩小组给定的成绩为最终成绩。为全面提高毕业论文管理水平，促进毕业论文质量提升，督学建议各学院必须严格答辩过程管理，要求答辩小组认真做好答辩记录，力求客观反映答辩真实水平。</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bCs/>
          <w:color w:val="333333"/>
          <w:kern w:val="0"/>
          <w:sz w:val="24"/>
          <w:szCs w:val="24"/>
        </w:rPr>
        <w:t>4.</w:t>
      </w:r>
      <w:r w:rsidRPr="00844757">
        <w:rPr>
          <w:rFonts w:ascii="仿宋" w:eastAsia="仿宋" w:hAnsi="仿宋" w:cs="宋体" w:hint="eastAsia"/>
          <w:bCs/>
          <w:color w:val="333333"/>
          <w:kern w:val="0"/>
          <w:sz w:val="24"/>
          <w:szCs w:val="24"/>
        </w:rPr>
        <w:t>进一步完善毕业论文成绩评定管理</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毕业论文评定方面，有的学院为应对学校关于优良比例不超过65%的要求，出现了论文评语与成绩不一致、指导教师和评阅教师与答辩小组成绩差异过大等一些不合理现象。督学建议学校相关文件保留优秀比例不超过15%的要求，对良好比例不做限制，即取消优良比例不超过65%的要求。</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5</w:t>
      </w:r>
      <w:r w:rsidRPr="00844757">
        <w:rPr>
          <w:rFonts w:ascii="仿宋" w:eastAsia="仿宋" w:hAnsi="仿宋" w:cs="宋体"/>
          <w:bCs/>
          <w:color w:val="333333"/>
          <w:kern w:val="0"/>
          <w:sz w:val="24"/>
          <w:szCs w:val="24"/>
        </w:rPr>
        <w:t>.进一步完善管理规则</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切实提高论文规范程度和质量</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bCs/>
          <w:color w:val="333333"/>
          <w:kern w:val="0"/>
          <w:sz w:val="24"/>
          <w:szCs w:val="24"/>
        </w:rPr>
        <w:t>督学建议</w:t>
      </w:r>
      <w:r w:rsidRPr="00844757">
        <w:rPr>
          <w:rFonts w:ascii="仿宋" w:eastAsia="仿宋" w:hAnsi="仿宋" w:cs="宋体" w:hint="eastAsia"/>
          <w:bCs/>
          <w:color w:val="333333"/>
          <w:kern w:val="0"/>
          <w:sz w:val="24"/>
          <w:szCs w:val="24"/>
        </w:rPr>
        <w:t>细化管理规则，提高可操作性。论文和相关文档的过程性管理环节要加强，报告和分析要详实，指导教师的评语要写实。学术规范管理要加强，基本数据、格式、论文结构要进一步完善。</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bCs/>
          <w:color w:val="333333"/>
          <w:kern w:val="0"/>
          <w:sz w:val="24"/>
          <w:szCs w:val="24"/>
        </w:rPr>
        <w:t>督学建议论文写作过分强调字数</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忽略结构和内在质量的倾向</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讨论部分应成为论文的主体</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因为该部分能反映出学生的能力和水平</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该部分不应只是一些图和表</w:t>
      </w:r>
      <w:r w:rsidRPr="00844757">
        <w:rPr>
          <w:rFonts w:ascii="仿宋" w:eastAsia="仿宋" w:hAnsi="仿宋" w:cs="宋体" w:hint="eastAsia"/>
          <w:bCs/>
          <w:color w:val="333333"/>
          <w:kern w:val="0"/>
          <w:sz w:val="24"/>
          <w:szCs w:val="24"/>
        </w:rPr>
        <w:t>，</w:t>
      </w:r>
      <w:r w:rsidRPr="00844757">
        <w:rPr>
          <w:rFonts w:ascii="仿宋" w:eastAsia="仿宋" w:hAnsi="仿宋" w:cs="宋体"/>
          <w:bCs/>
          <w:color w:val="333333"/>
          <w:kern w:val="0"/>
          <w:sz w:val="24"/>
          <w:szCs w:val="24"/>
        </w:rPr>
        <w:t>要有对结果的分析和比较</w:t>
      </w:r>
      <w:r w:rsidRPr="00844757">
        <w:rPr>
          <w:rFonts w:ascii="仿宋" w:eastAsia="仿宋" w:hAnsi="仿宋" w:cs="宋体" w:hint="eastAsia"/>
          <w:bCs/>
          <w:color w:val="333333"/>
          <w:kern w:val="0"/>
          <w:sz w:val="24"/>
          <w:szCs w:val="24"/>
        </w:rPr>
        <w:t>。</w:t>
      </w:r>
    </w:p>
    <w:p w:rsidR="006B69B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bCs/>
          <w:color w:val="333333"/>
          <w:kern w:val="0"/>
          <w:sz w:val="24"/>
          <w:szCs w:val="24"/>
        </w:rPr>
        <w:t>督学</w:t>
      </w:r>
      <w:r w:rsidRPr="00844757">
        <w:rPr>
          <w:rFonts w:ascii="仿宋" w:eastAsia="仿宋" w:hAnsi="仿宋" w:cs="宋体" w:hint="eastAsia"/>
          <w:bCs/>
          <w:color w:val="333333"/>
          <w:kern w:val="0"/>
          <w:sz w:val="24"/>
          <w:szCs w:val="24"/>
        </w:rPr>
        <w:t>建议合理使用参考文献，适当采用英文文献，不要过多罗列，避免弄虚作假之嫌，从而培养学生优良的学风和严谨、扎实的工作作风。</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p>
    <w:p w:rsidR="006B69B7" w:rsidRPr="00E84AFC" w:rsidRDefault="006B69B7" w:rsidP="006B69B7">
      <w:pPr>
        <w:snapToGrid w:val="0"/>
        <w:spacing w:beforeLines="50" w:before="156" w:afterLines="50" w:after="156" w:line="360" w:lineRule="auto"/>
        <w:ind w:firstLineChars="200" w:firstLine="482"/>
        <w:rPr>
          <w:rFonts w:ascii="仿宋" w:eastAsia="仿宋" w:hAnsi="仿宋"/>
          <w:b/>
          <w:bCs/>
          <w:color w:val="333333"/>
          <w:sz w:val="24"/>
          <w:szCs w:val="24"/>
        </w:rPr>
      </w:pPr>
      <w:r w:rsidRPr="00E61096">
        <w:rPr>
          <w:rFonts w:ascii="仿宋" w:eastAsia="仿宋" w:hAnsi="仿宋" w:hint="eastAsia"/>
          <w:b/>
          <w:bCs/>
          <w:color w:val="333333"/>
          <w:sz w:val="24"/>
          <w:szCs w:val="24"/>
        </w:rPr>
        <w:t>★</w:t>
      </w:r>
      <w:r w:rsidRPr="00E84AFC">
        <w:rPr>
          <w:rFonts w:ascii="仿宋" w:eastAsia="仿宋" w:hAnsi="仿宋" w:hint="eastAsia"/>
          <w:b/>
          <w:bCs/>
          <w:color w:val="333333"/>
          <w:sz w:val="24"/>
          <w:szCs w:val="24"/>
        </w:rPr>
        <w:t>河北大学2018-2019学年春学期本科课程考核试卷质量与管理评估分析报告</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2019年11月11日至12月13日，结合学校第二批本科专业评估，学校组</w:t>
      </w:r>
      <w:r w:rsidRPr="00844757">
        <w:rPr>
          <w:rFonts w:ascii="仿宋" w:eastAsia="仿宋" w:hAnsi="仿宋" w:cs="宋体" w:hint="eastAsia"/>
          <w:bCs/>
          <w:color w:val="333333"/>
          <w:kern w:val="0"/>
          <w:sz w:val="24"/>
          <w:szCs w:val="24"/>
        </w:rPr>
        <w:lastRenderedPageBreak/>
        <w:t>织督学对27个教学单位以及团委、学生处和创新创业指导中心的本科课程考核试卷质量与管理情况进行专项评估。本次评估对象为学校普通本科专业人才培养方案开设的2018-2019学年春学期所有本科课程、所有考核方式的试卷，内容涵盖命题质量、试卷评阅与成绩评定、平时考核和试卷管理等四个方面。</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评估期间，督学认真负责，对课程考核材料逐项检查，填写《河北大学本科课程考核试卷质量与管理评价表》，提交本科课程考核试卷质量与管理评估分析报告，并就存在问题、整改建议与各教学单位及相关部门及时沟通。现就评估情况分析如下：</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一、总体情况</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本次评估共抽查试卷231门次，其中178门次评价为优秀，49门次评价为良好，4门次评价为合格。</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评估发现，多数试卷命题质量较高，试题类型较为丰富，题量适中，难易适宜，参考答案和评分标准符合规范；大部分教学单位试卷管理普遍较为规范，材料归档齐全，装订整齐；多数试卷评阅规范，成绩评价全面，平时成绩和期末成绩比例恰当，给定有依据。大多数学院能按照学校要求，组织人员对试卷进行自查自评，填写《河北大学本科课程考核试卷质量与管理评价表》，完成自评分析报告，各项自评材料存档齐全。</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二、各评估指标情况分析</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（一）命题质量</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总体来看，大多数试卷命题能够以教学大纲为依据，以检查学生对基本知识、理论和技能的掌握、考查学生分析和解决问题的能力为目的，覆盖该课程主要内容，难易适度，具有一定的广度、深度；试题表达清晰、完整、无内容错误；参考答案与评分标准总体符合学校要求。个别课程试卷存在如下问题：</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1.试题题型和题目方面</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有的课程试题结构及分值分布仍不够合理，客观题、基础性题目分值偏高，开卷考试的试题类型少、试题难度较小、成绩分布不够合理。有的试卷A、B卷试题重复率超过15%。</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2.试题难易度方面</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有的试题难度偏低，导致成绩偏高、优秀率偏高；有的试题难度偏大，导致</w:t>
      </w:r>
      <w:r w:rsidRPr="00844757">
        <w:rPr>
          <w:rFonts w:ascii="仿宋" w:eastAsia="仿宋" w:hAnsi="仿宋" w:cs="宋体" w:hint="eastAsia"/>
          <w:bCs/>
          <w:color w:val="333333"/>
          <w:kern w:val="0"/>
          <w:sz w:val="24"/>
          <w:szCs w:val="24"/>
        </w:rPr>
        <w:lastRenderedPageBreak/>
        <w:t>学生成绩偏低、不及格率偏高。有的课程试题在不同专业考试成绩水平差异较大，难易程度反映不一致，存在同一门课程不及格率分别为61.4%，25.4%和38.9%的现象。</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3.试卷及答案规范方面</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有的课程试卷(样卷)或参考答案的格式不符合学校统一的规范要求。有的以论文形式考核的课程，评分标准缺乏操作性。</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（二）试卷评阅与成绩评定</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总体来看，大多数学院老师都能按学校规范评阅试卷，如：阅卷采用给分制，要点分、题首分、卷首分等基本齐全、准确，无错判、漏判现象，阅卷与核分改动处有教师签名，试卷评阅与成绩评定规范性在不断提高。发现的主要问题有：</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1.试卷评阅方面</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个别教师阅卷仍存在不规范之处，如选择题错的未计0分，对的用√号等，题首分画圈或分数下面划线、成绩改动无签名。个别题给分书写不规范，无法识别和确定具体数字。</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2.成绩评定方面</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平时成绩考核类型做到了多样化，但任课教师对平时成绩的评定没有一个严格的量化标准，导致平时成绩分值存在较大差异，评定不合理、不客观导致平时成绩偏高仍比较普遍，有的考核项目都是满分，缺乏区分度。有的平时成绩未注明出处来源。</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3.期末成绩统计分析方面</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试卷分析分析不够深入的问题依然普遍存在，绝大多数没有问题分析与改进措施。</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（三）试卷管理</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试卷管理规范性整体状况良好，归档资料基本齐全。主要发现如下问题：</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个别教学单位普遍缺少试卷审批表，或缺少成绩统计表和期末成绩统计分析表。有的教学单位没有进行自查，没有填写试卷质量评价表，也没有自评报告。存在不同科目英文试卷分析完全相同的现象。</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有的课程平时考核改分无签名，审批表中有代签名现象。有的期末考试成绩分析表、学生成绩登记表中均出现教师未签字的现象。有的考场报告单未签名。</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个别课程试卷缺少卷内目录或卷内目录无日期、无页次；归档目录不正规，</w:t>
      </w:r>
      <w:r w:rsidRPr="00844757">
        <w:rPr>
          <w:rFonts w:ascii="仿宋" w:eastAsia="仿宋" w:hAnsi="仿宋" w:cs="宋体" w:hint="eastAsia"/>
          <w:bCs/>
          <w:color w:val="333333"/>
          <w:kern w:val="0"/>
          <w:sz w:val="24"/>
          <w:szCs w:val="24"/>
        </w:rPr>
        <w:lastRenderedPageBreak/>
        <w:t>没有使用学校统一的目录模板。个别存档材料顺序装反。个别学院试卷装订松散，部分试卷没有装订，试卷装订封面信息填写不完整等。</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三、督学提出的重点改进建议</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（一）持续提高命题质量</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1.深入分析学生与课程特点，改进课程目标与内容设置，进一步完善试题结构，合理设计试题数量、难易度与覆盖面，使得课程考核既能客观检验教学效果、实现课程目标要求，又能激发学生持续学习的兴趣和动力。</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2.对于题型，建议一般试卷题型要有四种以上，避免个别题目分值过大；开卷考试试题应为开放性题目，应具有一定难度，重点考核学生对所学知识的灵活应用能力。</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3.学院层面应进一步加强命题审查，强调对命题的原则要求，一是优化题型结构的合理性，二是提高试卷、参考答案内容和格式的规范性，三是在试卷分析基础上适当调整试题难易度，保证成绩合理水平及分布。同时，进一步加强不同年度试题重复率的管理和检查。</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（二）进一步规范阅卷工作</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1.学院应加强对阅卷结果的复查，严格落实复查人责任。继续强调对试卷评阅及成绩评定的规范性认识，督促教师阅卷必须遵守学校的统一规范，如：题首分、要点分齐全，成绩改动须有本人签名，以论文形式考核的课程评分标准应明确具体且严格按评分标准逐项给分。</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2.学院应根据学校规定，针对本次试卷评估中发现的给分制、题首分位置、分数修改签名等问题，重点提醒相关教师，进一步规范阅卷程序。对于一门课多头的情况，学院或专业可专门进行研究，考虑流水判卷的必要性和可行性问题。</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3.加强对个别重点教师的阅卷指导，尤其对新入职教师阅卷工作给予必要指导，以保证新入职教师全面落实阅卷的规范要求。</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（三）切实做好试卷分析</w:t>
      </w:r>
    </w:p>
    <w:p w:rsidR="006B69B7" w:rsidRPr="00844757" w:rsidRDefault="006B69B7" w:rsidP="006B69B7">
      <w:pPr>
        <w:snapToGrid w:val="0"/>
        <w:spacing w:line="360" w:lineRule="auto"/>
        <w:ind w:firstLineChars="200" w:firstLine="480"/>
        <w:rPr>
          <w:rFonts w:ascii="仿宋" w:eastAsia="仿宋" w:hAnsi="仿宋" w:cs="宋体"/>
          <w:bCs/>
          <w:color w:val="333333"/>
          <w:kern w:val="0"/>
          <w:sz w:val="24"/>
          <w:szCs w:val="24"/>
        </w:rPr>
      </w:pPr>
      <w:r w:rsidRPr="00844757">
        <w:rPr>
          <w:rFonts w:ascii="仿宋" w:eastAsia="仿宋" w:hAnsi="仿宋" w:cs="宋体" w:hint="eastAsia"/>
          <w:bCs/>
          <w:color w:val="333333"/>
          <w:kern w:val="0"/>
          <w:sz w:val="24"/>
          <w:szCs w:val="24"/>
        </w:rPr>
        <w:t>任课教师应根据期末考试成绩情况，对考核方式、试题合理性以及考试成绩水平进行自我评估，分析存在的问题及问题产生的原因，提出下一次命题、授课、选择考核方式及阅卷的改进措施，在此基础上认真完成试卷分析环节的工作，试卷分析内容应力求全面、深入。</w:t>
      </w:r>
    </w:p>
    <w:p w:rsidR="002D0366" w:rsidRPr="006B69B7" w:rsidRDefault="002D0366" w:rsidP="006B69B7">
      <w:pPr>
        <w:widowControl/>
        <w:spacing w:beforeLines="50" w:before="156" w:afterLines="50" w:after="156" w:line="360" w:lineRule="auto"/>
        <w:ind w:firstLineChars="200" w:firstLine="480"/>
        <w:jc w:val="left"/>
        <w:rPr>
          <w:rFonts w:ascii="仿宋" w:eastAsia="仿宋" w:hAnsi="仿宋" w:cs="宋体"/>
          <w:bCs/>
          <w:color w:val="333333"/>
          <w:kern w:val="0"/>
          <w:sz w:val="24"/>
          <w:szCs w:val="24"/>
        </w:rPr>
      </w:pPr>
    </w:p>
    <w:sectPr w:rsidR="002D0366" w:rsidRPr="006B69B7" w:rsidSect="003527B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1E" w:rsidRDefault="00CE591E" w:rsidP="001E1848">
      <w:r>
        <w:separator/>
      </w:r>
    </w:p>
  </w:endnote>
  <w:endnote w:type="continuationSeparator" w:id="0">
    <w:p w:rsidR="00CE591E" w:rsidRDefault="00CE591E" w:rsidP="001E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587630"/>
      <w:docPartObj>
        <w:docPartGallery w:val="Page Numbers (Bottom of Page)"/>
        <w:docPartUnique/>
      </w:docPartObj>
    </w:sdtPr>
    <w:sdtEndPr/>
    <w:sdtContent>
      <w:p w:rsidR="00C2150C" w:rsidRDefault="00CF63CB">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6B69B7">
          <w:rPr>
            <w:noProof/>
            <w:lang w:val="zh-CN"/>
          </w:rPr>
          <w:t>1</w:t>
        </w:r>
        <w:r>
          <w:rPr>
            <w:noProof/>
            <w:lang w:val="zh-CN"/>
          </w:rPr>
          <w:fldChar w:fldCharType="end"/>
        </w:r>
      </w:p>
    </w:sdtContent>
  </w:sdt>
  <w:p w:rsidR="00C2150C" w:rsidRDefault="00C21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1E" w:rsidRDefault="00CE591E" w:rsidP="001E1848">
      <w:r>
        <w:separator/>
      </w:r>
    </w:p>
  </w:footnote>
  <w:footnote w:type="continuationSeparator" w:id="0">
    <w:p w:rsidR="00CE591E" w:rsidRDefault="00CE591E" w:rsidP="001E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0C" w:rsidRDefault="00C2150C" w:rsidP="00A452B6">
    <w:pPr>
      <w:pStyle w:val="a5"/>
      <w:pBdr>
        <w:bottom w:val="none" w:sz="0" w:space="0" w:color="auto"/>
      </w:pBdr>
    </w:pPr>
  </w:p>
  <w:p w:rsidR="00B70501" w:rsidRDefault="00B70501" w:rsidP="00A452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75"/>
    <w:rsid w:val="0001129A"/>
    <w:rsid w:val="00024E68"/>
    <w:rsid w:val="00084D51"/>
    <w:rsid w:val="000C08D9"/>
    <w:rsid w:val="001E1848"/>
    <w:rsid w:val="001E1F3E"/>
    <w:rsid w:val="00200A41"/>
    <w:rsid w:val="00201DAC"/>
    <w:rsid w:val="00242826"/>
    <w:rsid w:val="00264B37"/>
    <w:rsid w:val="00282BB0"/>
    <w:rsid w:val="0029497C"/>
    <w:rsid w:val="00295CD3"/>
    <w:rsid w:val="002B7056"/>
    <w:rsid w:val="002D0366"/>
    <w:rsid w:val="002F3840"/>
    <w:rsid w:val="002F675F"/>
    <w:rsid w:val="00326B6E"/>
    <w:rsid w:val="003527BB"/>
    <w:rsid w:val="00362799"/>
    <w:rsid w:val="003D3497"/>
    <w:rsid w:val="003E5C83"/>
    <w:rsid w:val="004021BD"/>
    <w:rsid w:val="00444140"/>
    <w:rsid w:val="004736F9"/>
    <w:rsid w:val="00477F39"/>
    <w:rsid w:val="00483BFE"/>
    <w:rsid w:val="004A5A3F"/>
    <w:rsid w:val="004B64B0"/>
    <w:rsid w:val="004C4502"/>
    <w:rsid w:val="0051016A"/>
    <w:rsid w:val="005469D6"/>
    <w:rsid w:val="005475A1"/>
    <w:rsid w:val="00554A51"/>
    <w:rsid w:val="00582725"/>
    <w:rsid w:val="005C5122"/>
    <w:rsid w:val="005E6042"/>
    <w:rsid w:val="00604B5A"/>
    <w:rsid w:val="00644549"/>
    <w:rsid w:val="00670BBA"/>
    <w:rsid w:val="00682DCB"/>
    <w:rsid w:val="006B333F"/>
    <w:rsid w:val="006B69B7"/>
    <w:rsid w:val="006C68CF"/>
    <w:rsid w:val="006E3CAF"/>
    <w:rsid w:val="006F2BF4"/>
    <w:rsid w:val="00771394"/>
    <w:rsid w:val="00774891"/>
    <w:rsid w:val="007D57BA"/>
    <w:rsid w:val="008058EA"/>
    <w:rsid w:val="00892E44"/>
    <w:rsid w:val="008E3275"/>
    <w:rsid w:val="00900E06"/>
    <w:rsid w:val="00963116"/>
    <w:rsid w:val="00981AFD"/>
    <w:rsid w:val="009C00EB"/>
    <w:rsid w:val="009C7CE0"/>
    <w:rsid w:val="009D2752"/>
    <w:rsid w:val="009D322A"/>
    <w:rsid w:val="00A452B6"/>
    <w:rsid w:val="00A66DA5"/>
    <w:rsid w:val="00A724D3"/>
    <w:rsid w:val="00AA5178"/>
    <w:rsid w:val="00B026B8"/>
    <w:rsid w:val="00B117A7"/>
    <w:rsid w:val="00B133AB"/>
    <w:rsid w:val="00B70501"/>
    <w:rsid w:val="00BA7573"/>
    <w:rsid w:val="00BE38DA"/>
    <w:rsid w:val="00C20BE1"/>
    <w:rsid w:val="00C2150C"/>
    <w:rsid w:val="00C23EA7"/>
    <w:rsid w:val="00C443D8"/>
    <w:rsid w:val="00C90304"/>
    <w:rsid w:val="00CE591E"/>
    <w:rsid w:val="00CF07CC"/>
    <w:rsid w:val="00CF54C0"/>
    <w:rsid w:val="00CF63CB"/>
    <w:rsid w:val="00D237BE"/>
    <w:rsid w:val="00D467E9"/>
    <w:rsid w:val="00D503E4"/>
    <w:rsid w:val="00D67FA0"/>
    <w:rsid w:val="00DB46AF"/>
    <w:rsid w:val="00DF59D1"/>
    <w:rsid w:val="00E37D0A"/>
    <w:rsid w:val="00E54F89"/>
    <w:rsid w:val="00EA4400"/>
    <w:rsid w:val="00ED310B"/>
    <w:rsid w:val="00ED6212"/>
    <w:rsid w:val="00EE6FEA"/>
    <w:rsid w:val="00F04C80"/>
    <w:rsid w:val="00F22B41"/>
    <w:rsid w:val="00F46695"/>
    <w:rsid w:val="00F51B02"/>
    <w:rsid w:val="00F9734E"/>
    <w:rsid w:val="00FE6C66"/>
    <w:rsid w:val="00FE7F9C"/>
    <w:rsid w:val="00FF1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9E356-A866-41E9-A77E-E746FC24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7BB"/>
    <w:pPr>
      <w:widowControl w:val="0"/>
      <w:jc w:val="both"/>
    </w:pPr>
  </w:style>
  <w:style w:type="paragraph" w:styleId="1">
    <w:name w:val="heading 1"/>
    <w:basedOn w:val="a"/>
    <w:next w:val="a"/>
    <w:link w:val="1Char"/>
    <w:uiPriority w:val="9"/>
    <w:qFormat/>
    <w:rsid w:val="00F22B41"/>
    <w:pPr>
      <w:keepNext/>
      <w:keepLines/>
      <w:spacing w:before="340" w:after="330" w:line="578" w:lineRule="auto"/>
      <w:outlineLvl w:val="0"/>
    </w:pPr>
    <w:rPr>
      <w:b/>
      <w:bCs/>
      <w:kern w:val="44"/>
      <w:sz w:val="44"/>
      <w:szCs w:val="44"/>
    </w:r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E1848"/>
    <w:rPr>
      <w:sz w:val="18"/>
      <w:szCs w:val="18"/>
    </w:rPr>
  </w:style>
  <w:style w:type="paragraph" w:styleId="a6">
    <w:name w:val="footer"/>
    <w:basedOn w:val="a"/>
    <w:link w:val="Char0"/>
    <w:uiPriority w:val="99"/>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rsid w:val="001E1848"/>
    <w:rPr>
      <w:sz w:val="18"/>
      <w:szCs w:val="18"/>
    </w:rPr>
  </w:style>
  <w:style w:type="paragraph" w:customStyle="1" w:styleId="p0">
    <w:name w:val="p0"/>
    <w:basedOn w:val="a"/>
    <w:rsid w:val="00C23EA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F22B41"/>
    <w:rPr>
      <w:b/>
      <w:bCs/>
      <w:kern w:val="44"/>
      <w:sz w:val="44"/>
      <w:szCs w:val="44"/>
    </w:rPr>
  </w:style>
  <w:style w:type="paragraph" w:styleId="a7">
    <w:name w:val="Balloon Text"/>
    <w:basedOn w:val="a"/>
    <w:link w:val="Char1"/>
    <w:uiPriority w:val="99"/>
    <w:semiHidden/>
    <w:unhideWhenUsed/>
    <w:rsid w:val="00FE6C66"/>
    <w:rPr>
      <w:sz w:val="18"/>
      <w:szCs w:val="18"/>
    </w:rPr>
  </w:style>
  <w:style w:type="character" w:customStyle="1" w:styleId="Char1">
    <w:name w:val="批注框文本 Char"/>
    <w:basedOn w:val="a0"/>
    <w:link w:val="a7"/>
    <w:uiPriority w:val="99"/>
    <w:semiHidden/>
    <w:rsid w:val="00FE6C66"/>
    <w:rPr>
      <w:sz w:val="18"/>
      <w:szCs w:val="18"/>
    </w:rPr>
  </w:style>
  <w:style w:type="character" w:customStyle="1" w:styleId="apple-converted-space">
    <w:name w:val="apple-converted-space"/>
    <w:basedOn w:val="a0"/>
    <w:rsid w:val="00362799"/>
  </w:style>
  <w:style w:type="paragraph" w:styleId="a8">
    <w:name w:val="List Paragraph"/>
    <w:basedOn w:val="a"/>
    <w:uiPriority w:val="34"/>
    <w:qFormat/>
    <w:rsid w:val="000C08D9"/>
    <w:pPr>
      <w:widowControl/>
      <w:spacing w:before="100" w:beforeAutospacing="1" w:after="100" w:afterAutospacing="1"/>
      <w:jc w:val="left"/>
    </w:pPr>
    <w:rPr>
      <w:rFonts w:ascii="宋体" w:eastAsia="宋体" w:hAnsi="宋体" w:cs="宋体"/>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9411">
      <w:bodyDiv w:val="1"/>
      <w:marLeft w:val="0"/>
      <w:marRight w:val="0"/>
      <w:marTop w:val="0"/>
      <w:marBottom w:val="0"/>
      <w:divBdr>
        <w:top w:val="none" w:sz="0" w:space="0" w:color="auto"/>
        <w:left w:val="none" w:sz="0" w:space="0" w:color="auto"/>
        <w:bottom w:val="none" w:sz="0" w:space="0" w:color="auto"/>
        <w:right w:val="none" w:sz="0" w:space="0" w:color="auto"/>
      </w:divBdr>
    </w:div>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878700">
      <w:bodyDiv w:val="1"/>
      <w:marLeft w:val="0"/>
      <w:marRight w:val="0"/>
      <w:marTop w:val="0"/>
      <w:marBottom w:val="0"/>
      <w:divBdr>
        <w:top w:val="none" w:sz="0" w:space="0" w:color="auto"/>
        <w:left w:val="none" w:sz="0" w:space="0" w:color="auto"/>
        <w:bottom w:val="none" w:sz="0" w:space="0" w:color="auto"/>
        <w:right w:val="none" w:sz="0" w:space="0" w:color="auto"/>
      </w:divBdr>
    </w:div>
    <w:div w:id="781875632">
      <w:bodyDiv w:val="1"/>
      <w:marLeft w:val="0"/>
      <w:marRight w:val="0"/>
      <w:marTop w:val="0"/>
      <w:marBottom w:val="0"/>
      <w:divBdr>
        <w:top w:val="none" w:sz="0" w:space="0" w:color="auto"/>
        <w:left w:val="none" w:sz="0" w:space="0" w:color="auto"/>
        <w:bottom w:val="none" w:sz="0" w:space="0" w:color="auto"/>
        <w:right w:val="none" w:sz="0" w:space="0" w:color="auto"/>
      </w:divBdr>
    </w:div>
    <w:div w:id="808328131">
      <w:bodyDiv w:val="1"/>
      <w:marLeft w:val="0"/>
      <w:marRight w:val="0"/>
      <w:marTop w:val="0"/>
      <w:marBottom w:val="0"/>
      <w:divBdr>
        <w:top w:val="none" w:sz="0" w:space="0" w:color="auto"/>
        <w:left w:val="none" w:sz="0" w:space="0" w:color="auto"/>
        <w:bottom w:val="none" w:sz="0" w:space="0" w:color="auto"/>
        <w:right w:val="none" w:sz="0" w:space="0" w:color="auto"/>
      </w:divBdr>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03136">
      <w:bodyDiv w:val="1"/>
      <w:marLeft w:val="0"/>
      <w:marRight w:val="0"/>
      <w:marTop w:val="0"/>
      <w:marBottom w:val="0"/>
      <w:divBdr>
        <w:top w:val="none" w:sz="0" w:space="0" w:color="auto"/>
        <w:left w:val="none" w:sz="0" w:space="0" w:color="auto"/>
        <w:bottom w:val="none" w:sz="0" w:space="0" w:color="auto"/>
        <w:right w:val="none" w:sz="0" w:space="0" w:color="auto"/>
      </w:divBdr>
    </w:div>
    <w:div w:id="829909883">
      <w:bodyDiv w:val="1"/>
      <w:marLeft w:val="0"/>
      <w:marRight w:val="0"/>
      <w:marTop w:val="0"/>
      <w:marBottom w:val="0"/>
      <w:divBdr>
        <w:top w:val="none" w:sz="0" w:space="0" w:color="auto"/>
        <w:left w:val="none" w:sz="0" w:space="0" w:color="auto"/>
        <w:bottom w:val="none" w:sz="0" w:space="0" w:color="auto"/>
        <w:right w:val="none" w:sz="0" w:space="0" w:color="auto"/>
      </w:divBdr>
    </w:div>
    <w:div w:id="897132974">
      <w:bodyDiv w:val="1"/>
      <w:marLeft w:val="0"/>
      <w:marRight w:val="0"/>
      <w:marTop w:val="0"/>
      <w:marBottom w:val="0"/>
      <w:divBdr>
        <w:top w:val="none" w:sz="0" w:space="0" w:color="auto"/>
        <w:left w:val="none" w:sz="0" w:space="0" w:color="auto"/>
        <w:bottom w:val="none" w:sz="0" w:space="0" w:color="auto"/>
        <w:right w:val="none" w:sz="0" w:space="0" w:color="auto"/>
      </w:divBdr>
    </w:div>
    <w:div w:id="965893021">
      <w:bodyDiv w:val="1"/>
      <w:marLeft w:val="0"/>
      <w:marRight w:val="0"/>
      <w:marTop w:val="0"/>
      <w:marBottom w:val="0"/>
      <w:divBdr>
        <w:top w:val="none" w:sz="0" w:space="0" w:color="auto"/>
        <w:left w:val="none" w:sz="0" w:space="0" w:color="auto"/>
        <w:bottom w:val="none" w:sz="0" w:space="0" w:color="auto"/>
        <w:right w:val="none" w:sz="0" w:space="0" w:color="auto"/>
      </w:divBdr>
    </w:div>
    <w:div w:id="972364387">
      <w:bodyDiv w:val="1"/>
      <w:marLeft w:val="0"/>
      <w:marRight w:val="0"/>
      <w:marTop w:val="0"/>
      <w:marBottom w:val="0"/>
      <w:divBdr>
        <w:top w:val="none" w:sz="0" w:space="0" w:color="auto"/>
        <w:left w:val="none" w:sz="0" w:space="0" w:color="auto"/>
        <w:bottom w:val="none" w:sz="0" w:space="0" w:color="auto"/>
        <w:right w:val="none" w:sz="0" w:space="0" w:color="auto"/>
      </w:divBdr>
    </w:div>
    <w:div w:id="1271202182">
      <w:bodyDiv w:val="1"/>
      <w:marLeft w:val="0"/>
      <w:marRight w:val="0"/>
      <w:marTop w:val="0"/>
      <w:marBottom w:val="0"/>
      <w:divBdr>
        <w:top w:val="none" w:sz="0" w:space="0" w:color="auto"/>
        <w:left w:val="none" w:sz="0" w:space="0" w:color="auto"/>
        <w:bottom w:val="none" w:sz="0" w:space="0" w:color="auto"/>
        <w:right w:val="none" w:sz="0" w:space="0" w:color="auto"/>
      </w:divBdr>
    </w:div>
    <w:div w:id="1276252564">
      <w:bodyDiv w:val="1"/>
      <w:marLeft w:val="0"/>
      <w:marRight w:val="0"/>
      <w:marTop w:val="0"/>
      <w:marBottom w:val="0"/>
      <w:divBdr>
        <w:top w:val="none" w:sz="0" w:space="0" w:color="auto"/>
        <w:left w:val="none" w:sz="0" w:space="0" w:color="auto"/>
        <w:bottom w:val="none" w:sz="0" w:space="0" w:color="auto"/>
        <w:right w:val="none" w:sz="0" w:space="0" w:color="auto"/>
      </w:divBdr>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15583">
      <w:bodyDiv w:val="1"/>
      <w:marLeft w:val="0"/>
      <w:marRight w:val="0"/>
      <w:marTop w:val="0"/>
      <w:marBottom w:val="0"/>
      <w:divBdr>
        <w:top w:val="none" w:sz="0" w:space="0" w:color="auto"/>
        <w:left w:val="none" w:sz="0" w:space="0" w:color="auto"/>
        <w:bottom w:val="none" w:sz="0" w:space="0" w:color="auto"/>
        <w:right w:val="none" w:sz="0" w:space="0" w:color="auto"/>
      </w:divBdr>
    </w:div>
    <w:div w:id="1818183400">
      <w:bodyDiv w:val="1"/>
      <w:marLeft w:val="0"/>
      <w:marRight w:val="0"/>
      <w:marTop w:val="0"/>
      <w:marBottom w:val="0"/>
      <w:divBdr>
        <w:top w:val="none" w:sz="0" w:space="0" w:color="auto"/>
        <w:left w:val="none" w:sz="0" w:space="0" w:color="auto"/>
        <w:bottom w:val="none" w:sz="0" w:space="0" w:color="auto"/>
        <w:right w:val="none" w:sz="0" w:space="0" w:color="auto"/>
      </w:divBdr>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DC9C-EDB7-4680-886E-638578C3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GHZ</cp:lastModifiedBy>
  <cp:revision>2</cp:revision>
  <dcterms:created xsi:type="dcterms:W3CDTF">2020-01-12T03:18:00Z</dcterms:created>
  <dcterms:modified xsi:type="dcterms:W3CDTF">2020-01-12T03:18:00Z</dcterms:modified>
</cp:coreProperties>
</file>