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rPr>
      </w:pPr>
      <w:r>
        <w:rPr>
          <w:sz w:val="28"/>
          <w:szCs w:val="28"/>
        </w:rPr>
        <w:t xml:space="preserve">      </w:t>
      </w:r>
    </w:p>
    <w:p>
      <w:pPr>
        <w:jc w:val="center"/>
        <w:rPr>
          <w:rFonts w:ascii="黑体" w:hAnsi="黑体" w:eastAsia="黑体"/>
          <w:sz w:val="32"/>
          <w:szCs w:val="32"/>
        </w:rPr>
      </w:pPr>
      <w:r>
        <w:rPr>
          <w:rFonts w:hint="eastAsia" w:ascii="黑体" w:hAnsi="黑体" w:eastAsia="黑体"/>
          <w:sz w:val="32"/>
          <w:szCs w:val="32"/>
        </w:rPr>
        <w:t>河北大学201</w:t>
      </w:r>
      <w:r>
        <w:rPr>
          <w:rFonts w:hint="eastAsia" w:ascii="黑体" w:hAnsi="黑体" w:eastAsia="黑体"/>
          <w:sz w:val="32"/>
          <w:szCs w:val="32"/>
          <w:lang w:val="en-US" w:eastAsia="zh-CN"/>
        </w:rPr>
        <w:t>9</w:t>
      </w:r>
      <w:r>
        <w:rPr>
          <w:rFonts w:hint="eastAsia" w:ascii="黑体" w:hAnsi="黑体" w:eastAsia="黑体"/>
          <w:sz w:val="32"/>
          <w:szCs w:val="32"/>
        </w:rPr>
        <w:t>-20</w:t>
      </w:r>
      <w:r>
        <w:rPr>
          <w:rFonts w:hint="eastAsia" w:ascii="黑体" w:hAnsi="黑体" w:eastAsia="黑体"/>
          <w:sz w:val="32"/>
          <w:szCs w:val="32"/>
          <w:lang w:val="en-US" w:eastAsia="zh-CN"/>
        </w:rPr>
        <w:t>20</w:t>
      </w:r>
      <w:r>
        <w:rPr>
          <w:rFonts w:hint="eastAsia" w:ascii="黑体" w:hAnsi="黑体" w:eastAsia="黑体"/>
          <w:sz w:val="32"/>
          <w:szCs w:val="32"/>
        </w:rPr>
        <w:t>学年本科教学质量报告</w:t>
      </w:r>
    </w:p>
    <w:p>
      <w:pPr>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val="en-US" w:eastAsia="zh-CN"/>
        </w:rPr>
        <w:t>教育教学质量评估与教师发展中心</w:t>
      </w:r>
      <w:r>
        <w:rPr>
          <w:rFonts w:hint="eastAsia" w:ascii="黑体" w:hAnsi="黑体" w:eastAsia="黑体"/>
          <w:sz w:val="32"/>
          <w:szCs w:val="32"/>
        </w:rPr>
        <w:t>）</w:t>
      </w:r>
    </w:p>
    <w:p>
      <w:pPr>
        <w:rPr>
          <w:b/>
          <w:sz w:val="36"/>
          <w:szCs w:val="36"/>
        </w:rPr>
      </w:pPr>
    </w:p>
    <w:p>
      <w:pPr>
        <w:numPr>
          <w:ilvl w:val="0"/>
          <w:numId w:val="1"/>
        </w:numPr>
        <w:rPr>
          <w:rFonts w:hint="eastAsia" w:ascii="仿宋" w:hAnsi="仿宋" w:eastAsia="仿宋"/>
          <w:b/>
          <w:sz w:val="30"/>
          <w:szCs w:val="30"/>
          <w:lang w:val="en-US" w:eastAsia="zh-CN"/>
        </w:rPr>
      </w:pPr>
      <w:r>
        <w:rPr>
          <w:rFonts w:hint="eastAsia" w:ascii="仿宋" w:hAnsi="仿宋" w:eastAsia="仿宋"/>
          <w:b/>
          <w:sz w:val="30"/>
          <w:szCs w:val="30"/>
          <w:lang w:val="en-US" w:eastAsia="zh-CN"/>
        </w:rPr>
        <w:t>本科教育基本情况</w:t>
      </w:r>
    </w:p>
    <w:p>
      <w:pPr>
        <w:rPr>
          <w:rFonts w:hint="eastAsia" w:ascii="仿宋" w:hAnsi="仿宋" w:eastAsia="仿宋"/>
          <w:sz w:val="30"/>
          <w:szCs w:val="30"/>
          <w:lang w:val="en-US" w:eastAsia="zh-CN"/>
        </w:rPr>
      </w:pPr>
      <w:r>
        <w:rPr>
          <w:rFonts w:hint="eastAsia" w:ascii="仿宋" w:hAnsi="仿宋" w:eastAsia="仿宋"/>
          <w:sz w:val="30"/>
          <w:szCs w:val="30"/>
          <w:lang w:val="en-US" w:eastAsia="zh-CN"/>
        </w:rPr>
        <w:t>1.本科专业设置情况</w:t>
      </w:r>
    </w:p>
    <w:p>
      <w:pPr>
        <w:rPr>
          <w:rFonts w:hint="eastAsia" w:ascii="仿宋" w:hAnsi="仿宋" w:eastAsia="仿宋"/>
          <w:b w:val="0"/>
          <w:bCs/>
          <w:sz w:val="30"/>
          <w:szCs w:val="30"/>
          <w:lang w:val="en-US" w:eastAsia="zh-CN"/>
        </w:rPr>
      </w:pPr>
      <w:r>
        <w:rPr>
          <w:rFonts w:hint="eastAsia" w:ascii="仿宋" w:hAnsi="仿宋" w:eastAsia="仿宋"/>
          <w:b w:val="0"/>
          <w:bCs/>
          <w:sz w:val="30"/>
          <w:szCs w:val="30"/>
          <w:lang w:val="en-US" w:eastAsia="zh-CN"/>
        </w:rPr>
        <w:t>2.各类全日制在校学生情况及本科生占比</w:t>
      </w:r>
    </w:p>
    <w:p>
      <w:pPr>
        <w:numPr>
          <w:ilvl w:val="0"/>
          <w:numId w:val="0"/>
        </w:numPr>
        <w:rPr>
          <w:rFonts w:hint="default" w:ascii="仿宋" w:hAnsi="仿宋" w:eastAsia="仿宋"/>
          <w:sz w:val="30"/>
          <w:szCs w:val="30"/>
          <w:lang w:val="en-US" w:eastAsia="zh-CN"/>
        </w:rPr>
      </w:pPr>
      <w:r>
        <w:rPr>
          <w:rFonts w:hint="eastAsia" w:ascii="仿宋" w:hAnsi="仿宋" w:eastAsia="仿宋"/>
          <w:sz w:val="30"/>
          <w:szCs w:val="30"/>
          <w:lang w:val="en-US" w:eastAsia="zh-CN"/>
        </w:rPr>
        <w:t>（以上数据以“高等教育质量监测国家数据平台”为依据）</w:t>
      </w:r>
    </w:p>
    <w:p>
      <w:pPr>
        <w:numPr>
          <w:ilvl w:val="0"/>
          <w:numId w:val="2"/>
        </w:numPr>
        <w:rPr>
          <w:rFonts w:hint="eastAsia" w:ascii="仿宋" w:hAnsi="仿宋" w:eastAsia="仿宋"/>
          <w:b/>
          <w:sz w:val="30"/>
          <w:szCs w:val="30"/>
          <w:lang w:val="en-US" w:eastAsia="zh-CN"/>
        </w:rPr>
      </w:pPr>
      <w:r>
        <w:rPr>
          <w:rFonts w:hint="eastAsia" w:ascii="仿宋" w:hAnsi="仿宋" w:eastAsia="仿宋"/>
          <w:b/>
          <w:sz w:val="30"/>
          <w:szCs w:val="30"/>
          <w:lang w:val="en-US" w:eastAsia="zh-CN"/>
        </w:rPr>
        <w:t>师资与教学条件</w:t>
      </w:r>
    </w:p>
    <w:p>
      <w:pPr>
        <w:numPr>
          <w:ilvl w:val="0"/>
          <w:numId w:val="0"/>
        </w:numPr>
        <w:rPr>
          <w:rFonts w:hint="eastAsia" w:ascii="仿宋" w:hAnsi="仿宋" w:eastAsia="仿宋"/>
          <w:sz w:val="30"/>
          <w:szCs w:val="30"/>
          <w:lang w:val="en-US" w:eastAsia="zh-CN"/>
        </w:rPr>
      </w:pPr>
      <w:r>
        <w:rPr>
          <w:rFonts w:hint="eastAsia" w:ascii="仿宋" w:hAnsi="仿宋" w:eastAsia="仿宋"/>
          <w:sz w:val="30"/>
          <w:szCs w:val="30"/>
          <w:lang w:val="en-US" w:eastAsia="zh-CN"/>
        </w:rPr>
        <w:t>1.师资队伍数量及结构</w:t>
      </w:r>
    </w:p>
    <w:p>
      <w:pPr>
        <w:numPr>
          <w:ilvl w:val="0"/>
          <w:numId w:val="0"/>
        </w:numPr>
        <w:rPr>
          <w:rFonts w:hint="eastAsia" w:ascii="仿宋" w:hAnsi="仿宋" w:eastAsia="仿宋"/>
          <w:sz w:val="30"/>
          <w:szCs w:val="30"/>
          <w:lang w:val="en-US" w:eastAsia="zh-CN"/>
        </w:rPr>
      </w:pPr>
      <w:r>
        <w:rPr>
          <w:rFonts w:hint="eastAsia" w:ascii="仿宋" w:hAnsi="仿宋" w:eastAsia="仿宋"/>
          <w:sz w:val="30"/>
          <w:szCs w:val="30"/>
          <w:lang w:val="en-US" w:eastAsia="zh-CN"/>
        </w:rPr>
        <w:t>2.生师比</w:t>
      </w:r>
    </w:p>
    <w:p>
      <w:pPr>
        <w:numPr>
          <w:ilvl w:val="0"/>
          <w:numId w:val="0"/>
        </w:numPr>
        <w:rPr>
          <w:rFonts w:hint="eastAsia" w:ascii="仿宋" w:hAnsi="仿宋" w:eastAsia="仿宋"/>
          <w:sz w:val="30"/>
          <w:szCs w:val="30"/>
          <w:lang w:val="en-US" w:eastAsia="zh-CN"/>
        </w:rPr>
      </w:pPr>
      <w:r>
        <w:rPr>
          <w:rFonts w:hint="eastAsia" w:ascii="仿宋" w:hAnsi="仿宋" w:eastAsia="仿宋"/>
          <w:sz w:val="30"/>
          <w:szCs w:val="30"/>
          <w:lang w:val="en-US" w:eastAsia="zh-CN"/>
        </w:rPr>
        <w:t>3.本科生主讲教师情况</w:t>
      </w:r>
    </w:p>
    <w:p>
      <w:pPr>
        <w:numPr>
          <w:ilvl w:val="0"/>
          <w:numId w:val="0"/>
        </w:numPr>
        <w:rPr>
          <w:rFonts w:hint="eastAsia" w:ascii="仿宋" w:hAnsi="仿宋" w:eastAsia="仿宋"/>
          <w:sz w:val="30"/>
          <w:szCs w:val="30"/>
          <w:lang w:val="en-US" w:eastAsia="zh-CN"/>
        </w:rPr>
      </w:pPr>
      <w:r>
        <w:rPr>
          <w:rFonts w:hint="eastAsia" w:ascii="仿宋" w:hAnsi="仿宋" w:eastAsia="仿宋"/>
          <w:sz w:val="30"/>
          <w:szCs w:val="30"/>
          <w:lang w:val="en-US" w:eastAsia="zh-CN"/>
        </w:rPr>
        <w:t>4.教授承担本科生课程情况</w:t>
      </w:r>
    </w:p>
    <w:p>
      <w:pPr>
        <w:numPr>
          <w:ilvl w:val="0"/>
          <w:numId w:val="0"/>
        </w:numPr>
        <w:rPr>
          <w:rFonts w:hint="eastAsia" w:ascii="仿宋" w:hAnsi="仿宋" w:eastAsia="仿宋"/>
          <w:sz w:val="30"/>
          <w:szCs w:val="30"/>
          <w:lang w:val="en-US" w:eastAsia="zh-CN"/>
        </w:rPr>
      </w:pPr>
      <w:r>
        <w:rPr>
          <w:rFonts w:hint="eastAsia" w:ascii="仿宋" w:hAnsi="仿宋" w:eastAsia="仿宋"/>
          <w:sz w:val="30"/>
          <w:szCs w:val="30"/>
          <w:lang w:val="en-US" w:eastAsia="zh-CN"/>
        </w:rPr>
        <w:t>5.教学经费投入情况</w:t>
      </w:r>
    </w:p>
    <w:p>
      <w:pPr>
        <w:numPr>
          <w:ilvl w:val="0"/>
          <w:numId w:val="0"/>
        </w:numPr>
        <w:rPr>
          <w:rFonts w:hint="eastAsia" w:ascii="仿宋" w:hAnsi="仿宋" w:eastAsia="仿宋"/>
          <w:sz w:val="30"/>
          <w:szCs w:val="30"/>
          <w:lang w:val="en-US" w:eastAsia="zh-CN"/>
        </w:rPr>
      </w:pPr>
      <w:r>
        <w:rPr>
          <w:rFonts w:hint="eastAsia" w:ascii="仿宋" w:hAnsi="仿宋" w:eastAsia="仿宋"/>
          <w:sz w:val="30"/>
          <w:szCs w:val="30"/>
          <w:lang w:val="en-US" w:eastAsia="zh-CN"/>
        </w:rPr>
        <w:t>6.教学用房、图书、信息资源等</w:t>
      </w:r>
    </w:p>
    <w:p>
      <w:pPr>
        <w:numPr>
          <w:ilvl w:val="0"/>
          <w:numId w:val="0"/>
        </w:numPr>
        <w:rPr>
          <w:rFonts w:hint="eastAsia" w:ascii="仿宋" w:hAnsi="仿宋" w:eastAsia="仿宋"/>
          <w:sz w:val="30"/>
          <w:szCs w:val="30"/>
          <w:lang w:val="en-US" w:eastAsia="zh-CN"/>
        </w:rPr>
      </w:pPr>
      <w:r>
        <w:rPr>
          <w:rFonts w:hint="eastAsia" w:ascii="仿宋" w:hAnsi="仿宋" w:eastAsia="仿宋"/>
          <w:sz w:val="30"/>
          <w:szCs w:val="30"/>
          <w:lang w:val="en-US" w:eastAsia="zh-CN"/>
        </w:rPr>
        <w:t>（以上数据以“高等教育质量监测国家数据平台”为依据）</w:t>
      </w:r>
    </w:p>
    <w:p>
      <w:pPr>
        <w:numPr>
          <w:ilvl w:val="0"/>
          <w:numId w:val="2"/>
        </w:numPr>
        <w:ind w:left="0" w:leftChars="0" w:firstLine="0" w:firstLineChars="0"/>
        <w:rPr>
          <w:rFonts w:hint="eastAsia" w:ascii="仿宋" w:hAnsi="仿宋" w:eastAsia="仿宋"/>
          <w:b/>
          <w:sz w:val="30"/>
          <w:szCs w:val="30"/>
          <w:lang w:val="en-US" w:eastAsia="zh-CN"/>
        </w:rPr>
      </w:pPr>
      <w:r>
        <w:rPr>
          <w:rFonts w:hint="eastAsia" w:ascii="仿宋" w:hAnsi="仿宋" w:eastAsia="仿宋"/>
          <w:b/>
          <w:sz w:val="30"/>
          <w:szCs w:val="30"/>
          <w:lang w:val="en-US" w:eastAsia="zh-CN"/>
        </w:rPr>
        <w:t>教学建设与改革</w:t>
      </w:r>
    </w:p>
    <w:p>
      <w:pPr>
        <w:numPr>
          <w:ilvl w:val="0"/>
          <w:numId w:val="3"/>
        </w:numPr>
        <w:rPr>
          <w:rFonts w:hint="eastAsia" w:ascii="仿宋" w:hAnsi="仿宋" w:eastAsia="仿宋"/>
          <w:sz w:val="30"/>
          <w:szCs w:val="30"/>
          <w:lang w:val="en-US" w:eastAsia="zh-CN"/>
        </w:rPr>
      </w:pPr>
      <w:r>
        <w:rPr>
          <w:rFonts w:hint="eastAsia" w:ascii="仿宋" w:hAnsi="仿宋" w:eastAsia="仿宋"/>
          <w:sz w:val="30"/>
          <w:szCs w:val="30"/>
          <w:lang w:val="en-US" w:eastAsia="zh-CN"/>
        </w:rPr>
        <w:t>全校开课门数及选修课开设情况</w:t>
      </w:r>
    </w:p>
    <w:p>
      <w:pPr>
        <w:numPr>
          <w:ilvl w:val="0"/>
          <w:numId w:val="3"/>
        </w:numPr>
        <w:rPr>
          <w:rFonts w:hint="default" w:ascii="仿宋" w:hAnsi="仿宋" w:eastAsia="仿宋"/>
          <w:sz w:val="30"/>
          <w:szCs w:val="30"/>
          <w:lang w:val="en-US" w:eastAsia="zh-CN"/>
        </w:rPr>
      </w:pPr>
      <w:r>
        <w:rPr>
          <w:rFonts w:hint="eastAsia" w:ascii="仿宋" w:hAnsi="仿宋" w:eastAsia="仿宋"/>
          <w:sz w:val="30"/>
          <w:szCs w:val="30"/>
          <w:lang w:val="en-US" w:eastAsia="zh-CN"/>
        </w:rPr>
        <w:t>课堂教学规模</w:t>
      </w:r>
    </w:p>
    <w:p>
      <w:pPr>
        <w:numPr>
          <w:ilvl w:val="0"/>
          <w:numId w:val="0"/>
        </w:numPr>
        <w:rPr>
          <w:rFonts w:hint="eastAsia" w:ascii="仿宋" w:hAnsi="仿宋" w:eastAsia="仿宋"/>
          <w:sz w:val="30"/>
          <w:szCs w:val="30"/>
          <w:lang w:val="en-US" w:eastAsia="zh-CN"/>
        </w:rPr>
      </w:pPr>
      <w:r>
        <w:rPr>
          <w:rFonts w:hint="eastAsia" w:ascii="仿宋" w:hAnsi="仿宋" w:eastAsia="仿宋"/>
          <w:sz w:val="30"/>
          <w:szCs w:val="30"/>
          <w:lang w:val="en-US" w:eastAsia="zh-CN"/>
        </w:rPr>
        <w:t>（以上数据以“高等教育质量监测国家数据平台”为依据）</w:t>
      </w:r>
    </w:p>
    <w:p>
      <w:pPr>
        <w:numPr>
          <w:ilvl w:val="0"/>
          <w:numId w:val="0"/>
        </w:numPr>
        <w:ind w:left="150" w:leftChars="0"/>
        <w:rPr>
          <w:rFonts w:ascii="仿宋" w:hAnsi="仿宋" w:eastAsia="仿宋"/>
          <w:b/>
          <w:sz w:val="30"/>
          <w:szCs w:val="30"/>
        </w:rPr>
      </w:pPr>
      <w:r>
        <w:rPr>
          <w:rFonts w:ascii="仿宋" w:hAnsi="仿宋" w:eastAsia="仿宋"/>
          <w:b/>
          <w:sz w:val="30"/>
          <w:szCs w:val="30"/>
        </w:rPr>
        <w:t>四</w:t>
      </w:r>
      <w:r>
        <w:rPr>
          <w:rFonts w:hint="eastAsia" w:ascii="仿宋" w:hAnsi="仿宋" w:eastAsia="仿宋"/>
          <w:b/>
          <w:sz w:val="30"/>
          <w:szCs w:val="30"/>
        </w:rPr>
        <w:t>、</w:t>
      </w:r>
      <w:r>
        <w:rPr>
          <w:rFonts w:ascii="仿宋" w:hAnsi="仿宋" w:eastAsia="仿宋"/>
          <w:b/>
          <w:sz w:val="30"/>
          <w:szCs w:val="30"/>
        </w:rPr>
        <w:t>专业培养能力</w:t>
      </w:r>
    </w:p>
    <w:p>
      <w:pPr>
        <w:rPr>
          <w:rFonts w:ascii="仿宋" w:hAnsi="仿宋" w:eastAsia="仿宋"/>
          <w:sz w:val="30"/>
          <w:szCs w:val="30"/>
        </w:rPr>
      </w:pPr>
      <w:r>
        <w:rPr>
          <w:rFonts w:hint="eastAsia" w:ascii="仿宋" w:hAnsi="仿宋" w:eastAsia="仿宋"/>
          <w:sz w:val="30"/>
          <w:szCs w:val="30"/>
        </w:rPr>
        <w:t>1.立德树人落实机制</w:t>
      </w:r>
    </w:p>
    <w:p>
      <w:pPr>
        <w:rPr>
          <w:rFonts w:ascii="仿宋" w:hAnsi="仿宋" w:eastAsia="仿宋"/>
          <w:b/>
          <w:sz w:val="30"/>
          <w:szCs w:val="30"/>
        </w:rPr>
      </w:pPr>
      <w:r>
        <w:rPr>
          <w:rFonts w:hint="eastAsia" w:ascii="仿宋" w:hAnsi="仿宋" w:eastAsia="仿宋"/>
          <w:b/>
          <w:sz w:val="30"/>
          <w:szCs w:val="30"/>
        </w:rPr>
        <w:t>五、质量保障体系</w:t>
      </w:r>
    </w:p>
    <w:p>
      <w:pPr>
        <w:rPr>
          <w:rFonts w:hint="eastAsia" w:ascii="仿宋" w:hAnsi="仿宋" w:eastAsia="仿宋"/>
          <w:sz w:val="30"/>
          <w:szCs w:val="30"/>
          <w:lang w:val="en-US" w:eastAsia="zh-CN"/>
        </w:rPr>
      </w:pPr>
      <w:r>
        <w:rPr>
          <w:rFonts w:hint="eastAsia" w:ascii="仿宋" w:hAnsi="仿宋" w:eastAsia="仿宋"/>
          <w:sz w:val="30"/>
          <w:szCs w:val="30"/>
        </w:rPr>
        <w:t>1.</w:t>
      </w:r>
      <w:r>
        <w:rPr>
          <w:rFonts w:hint="eastAsia" w:ascii="仿宋" w:hAnsi="仿宋" w:eastAsia="仿宋"/>
          <w:sz w:val="30"/>
          <w:szCs w:val="30"/>
          <w:lang w:val="en-US" w:eastAsia="zh-CN"/>
        </w:rPr>
        <w:t>教学质量保障体系建设</w:t>
      </w:r>
    </w:p>
    <w:p>
      <w:pPr>
        <w:rPr>
          <w:rFonts w:hint="eastAsia" w:ascii="仿宋" w:hAnsi="仿宋" w:eastAsia="仿宋"/>
          <w:sz w:val="30"/>
          <w:szCs w:val="30"/>
          <w:lang w:val="en-US" w:eastAsia="zh-CN"/>
        </w:rPr>
      </w:pPr>
      <w:r>
        <w:rPr>
          <w:rFonts w:hint="eastAsia" w:ascii="仿宋" w:hAnsi="仿宋" w:eastAsia="仿宋"/>
          <w:sz w:val="30"/>
          <w:szCs w:val="30"/>
          <w:lang w:val="en-US" w:eastAsia="zh-CN"/>
        </w:rPr>
        <w:t>2.日常监控及运行</w:t>
      </w:r>
    </w:p>
    <w:p>
      <w:pPr>
        <w:rPr>
          <w:rFonts w:hint="eastAsia" w:ascii="仿宋" w:hAnsi="仿宋" w:eastAsia="仿宋"/>
          <w:sz w:val="30"/>
          <w:szCs w:val="30"/>
          <w:lang w:val="en-US" w:eastAsia="zh-CN"/>
        </w:rPr>
      </w:pPr>
      <w:r>
        <w:rPr>
          <w:rFonts w:hint="eastAsia" w:ascii="仿宋" w:hAnsi="仿宋" w:eastAsia="仿宋"/>
          <w:sz w:val="30"/>
          <w:szCs w:val="30"/>
          <w:lang w:val="en-US" w:eastAsia="zh-CN"/>
        </w:rPr>
        <w:t>3.规范教学行为情况</w:t>
      </w:r>
    </w:p>
    <w:p>
      <w:pPr>
        <w:rPr>
          <w:rFonts w:hint="eastAsia" w:ascii="仿宋" w:hAnsi="仿宋" w:eastAsia="仿宋"/>
          <w:sz w:val="30"/>
          <w:szCs w:val="30"/>
          <w:lang w:val="en-US" w:eastAsia="zh-CN"/>
        </w:rPr>
      </w:pPr>
      <w:r>
        <w:rPr>
          <w:rFonts w:hint="eastAsia" w:ascii="仿宋" w:hAnsi="仿宋" w:eastAsia="仿宋"/>
          <w:sz w:val="30"/>
          <w:szCs w:val="30"/>
          <w:lang w:val="en-US" w:eastAsia="zh-CN"/>
        </w:rPr>
        <w:t>4.本科教学基本状态分析</w:t>
      </w:r>
    </w:p>
    <w:p>
      <w:pPr>
        <w:rPr>
          <w:rFonts w:hint="eastAsia" w:ascii="仿宋" w:hAnsi="仿宋" w:eastAsia="仿宋"/>
          <w:sz w:val="30"/>
          <w:szCs w:val="30"/>
          <w:lang w:val="en-US" w:eastAsia="zh-CN"/>
        </w:rPr>
      </w:pPr>
      <w:r>
        <w:rPr>
          <w:rFonts w:hint="eastAsia" w:ascii="仿宋" w:hAnsi="仿宋" w:eastAsia="仿宋"/>
          <w:sz w:val="30"/>
          <w:szCs w:val="30"/>
          <w:lang w:val="en-US" w:eastAsia="zh-CN"/>
        </w:rPr>
        <w:t>5.专业评估、专业认证及国际评估情况</w:t>
      </w:r>
    </w:p>
    <w:p>
      <w:pPr>
        <w:rPr>
          <w:rFonts w:hint="default" w:ascii="仿宋" w:hAnsi="仿宋" w:eastAsia="仿宋"/>
          <w:sz w:val="30"/>
          <w:szCs w:val="30"/>
          <w:lang w:val="en-US" w:eastAsia="zh-CN"/>
        </w:rPr>
      </w:pPr>
      <w:r>
        <w:rPr>
          <w:rFonts w:hint="eastAsia" w:ascii="仿宋" w:hAnsi="仿宋" w:eastAsia="仿宋"/>
          <w:sz w:val="30"/>
          <w:szCs w:val="30"/>
          <w:lang w:val="en-US" w:eastAsia="zh-CN"/>
        </w:rPr>
        <w:t>6.出台的相关政策措施</w:t>
      </w:r>
    </w:p>
    <w:p>
      <w:pPr>
        <w:rPr>
          <w:rFonts w:ascii="仿宋" w:hAnsi="仿宋" w:eastAsia="仿宋"/>
          <w:b/>
          <w:sz w:val="30"/>
          <w:szCs w:val="30"/>
        </w:rPr>
      </w:pPr>
      <w:r>
        <w:rPr>
          <w:rFonts w:hint="eastAsia" w:ascii="仿宋" w:hAnsi="仿宋" w:eastAsia="仿宋"/>
          <w:b/>
          <w:sz w:val="30"/>
          <w:szCs w:val="30"/>
        </w:rPr>
        <w:t>七、特色发展</w:t>
      </w:r>
    </w:p>
    <w:p>
      <w:pPr>
        <w:ind w:firstLine="600" w:firstLineChars="200"/>
        <w:rPr>
          <w:rFonts w:hint="default" w:ascii="仿宋" w:hAnsi="仿宋" w:eastAsia="仿宋"/>
          <w:sz w:val="30"/>
          <w:szCs w:val="30"/>
          <w:lang w:val="en-US" w:eastAsia="zh-CN"/>
        </w:rPr>
      </w:pPr>
      <w:r>
        <w:rPr>
          <w:rFonts w:hint="eastAsia" w:ascii="仿宋" w:hAnsi="仿宋" w:eastAsia="仿宋"/>
          <w:sz w:val="30"/>
          <w:szCs w:val="30"/>
        </w:rPr>
        <w:t>围绕普通高等学校201</w:t>
      </w:r>
      <w:r>
        <w:rPr>
          <w:rFonts w:hint="eastAsia" w:ascii="仿宋" w:hAnsi="仿宋" w:eastAsia="仿宋"/>
          <w:sz w:val="30"/>
          <w:szCs w:val="30"/>
          <w:lang w:val="en-US" w:eastAsia="zh-CN"/>
        </w:rPr>
        <w:t>9</w:t>
      </w:r>
      <w:r>
        <w:rPr>
          <w:rFonts w:hint="eastAsia" w:ascii="仿宋" w:hAnsi="仿宋" w:eastAsia="仿宋"/>
          <w:sz w:val="30"/>
          <w:szCs w:val="30"/>
        </w:rPr>
        <w:t>-20</w:t>
      </w:r>
      <w:r>
        <w:rPr>
          <w:rFonts w:hint="eastAsia" w:ascii="仿宋" w:hAnsi="仿宋" w:eastAsia="仿宋"/>
          <w:sz w:val="30"/>
          <w:szCs w:val="30"/>
          <w:lang w:val="en-US" w:eastAsia="zh-CN"/>
        </w:rPr>
        <w:t>20</w:t>
      </w:r>
      <w:r>
        <w:rPr>
          <w:rFonts w:hint="eastAsia" w:ascii="仿宋" w:hAnsi="仿宋" w:eastAsia="仿宋"/>
          <w:sz w:val="30"/>
          <w:szCs w:val="30"/>
        </w:rPr>
        <w:t>学年《本科教学质量报告》基本要求，总结学校在本科教育教学相关工作中为提高人才培养质量采取的举措、取得的经验、成果及形成的特色</w:t>
      </w:r>
      <w:r>
        <w:rPr>
          <w:rFonts w:hint="eastAsia" w:ascii="仿宋" w:hAnsi="仿宋" w:eastAsia="仿宋"/>
          <w:sz w:val="30"/>
          <w:szCs w:val="30"/>
          <w:lang w:eastAsia="zh-CN"/>
        </w:rPr>
        <w:t>，</w:t>
      </w:r>
      <w:r>
        <w:rPr>
          <w:rFonts w:hint="eastAsia" w:ascii="仿宋" w:hAnsi="仿宋" w:eastAsia="仿宋"/>
          <w:b/>
          <w:bCs/>
          <w:sz w:val="30"/>
          <w:szCs w:val="30"/>
          <w:lang w:val="en-US" w:eastAsia="zh-CN"/>
        </w:rPr>
        <w:t>特别对抗击新冠肺炎疫情期间的本科教育教学方式方法创新进行总结。</w:t>
      </w:r>
    </w:p>
    <w:p>
      <w:pPr>
        <w:rPr>
          <w:rFonts w:ascii="仿宋" w:hAnsi="仿宋" w:eastAsia="仿宋"/>
          <w:b/>
          <w:sz w:val="30"/>
          <w:szCs w:val="30"/>
        </w:rPr>
      </w:pPr>
      <w:r>
        <w:rPr>
          <w:rFonts w:hint="eastAsia" w:ascii="仿宋" w:hAnsi="仿宋" w:eastAsia="仿宋"/>
          <w:b/>
          <w:sz w:val="30"/>
          <w:szCs w:val="30"/>
        </w:rPr>
        <w:t>八、需要解决的问题</w:t>
      </w:r>
    </w:p>
    <w:p>
      <w:pPr>
        <w:ind w:firstLine="600" w:firstLineChars="200"/>
        <w:rPr>
          <w:rFonts w:ascii="仿宋" w:hAnsi="仿宋" w:eastAsia="仿宋"/>
          <w:sz w:val="30"/>
          <w:szCs w:val="30"/>
        </w:rPr>
      </w:pPr>
      <w:r>
        <w:rPr>
          <w:rFonts w:hint="eastAsia" w:ascii="仿宋" w:hAnsi="仿宋" w:eastAsia="仿宋"/>
          <w:sz w:val="30"/>
          <w:szCs w:val="30"/>
        </w:rPr>
        <w:t>针对影响教学质量的突出问题，分析主要原因，提出解决问题的措施及建议。</w:t>
      </w:r>
    </w:p>
    <w:p>
      <w:pPr>
        <w:ind w:left="5400" w:hanging="5400" w:hangingChars="1800"/>
        <w:jc w:val="left"/>
        <w:rPr>
          <w:sz w:val="30"/>
          <w:szCs w:val="30"/>
        </w:rPr>
      </w:pPr>
      <w:r>
        <w:rPr>
          <w:sz w:val="30"/>
          <w:szCs w:val="30"/>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0ACDE6"/>
    <w:multiLevelType w:val="singleLevel"/>
    <w:tmpl w:val="D80ACDE6"/>
    <w:lvl w:ilvl="0" w:tentative="0">
      <w:start w:val="1"/>
      <w:numFmt w:val="chineseCounting"/>
      <w:suff w:val="nothing"/>
      <w:lvlText w:val="%1、"/>
      <w:lvlJc w:val="left"/>
      <w:rPr>
        <w:rFonts w:hint="eastAsia"/>
      </w:rPr>
    </w:lvl>
  </w:abstractNum>
  <w:abstractNum w:abstractNumId="1">
    <w:nsid w:val="31D9C851"/>
    <w:multiLevelType w:val="singleLevel"/>
    <w:tmpl w:val="31D9C851"/>
    <w:lvl w:ilvl="0" w:tentative="0">
      <w:start w:val="2"/>
      <w:numFmt w:val="chineseCounting"/>
      <w:suff w:val="nothing"/>
      <w:lvlText w:val="%1、"/>
      <w:lvlJc w:val="left"/>
      <w:rPr>
        <w:rFonts w:hint="eastAsia"/>
      </w:rPr>
    </w:lvl>
  </w:abstractNum>
  <w:abstractNum w:abstractNumId="2">
    <w:nsid w:val="68F22873"/>
    <w:multiLevelType w:val="singleLevel"/>
    <w:tmpl w:val="68F22873"/>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75FCA"/>
    <w:rsid w:val="00030F52"/>
    <w:rsid w:val="000563C4"/>
    <w:rsid w:val="000C3046"/>
    <w:rsid w:val="000D7141"/>
    <w:rsid w:val="000E6ED4"/>
    <w:rsid w:val="0014235B"/>
    <w:rsid w:val="00150DF5"/>
    <w:rsid w:val="00173E7E"/>
    <w:rsid w:val="00183628"/>
    <w:rsid w:val="00275FCA"/>
    <w:rsid w:val="00283762"/>
    <w:rsid w:val="00306978"/>
    <w:rsid w:val="003264E0"/>
    <w:rsid w:val="0039603D"/>
    <w:rsid w:val="0039727D"/>
    <w:rsid w:val="00407F04"/>
    <w:rsid w:val="00414082"/>
    <w:rsid w:val="00463FB7"/>
    <w:rsid w:val="004724EE"/>
    <w:rsid w:val="004824BF"/>
    <w:rsid w:val="00490BFD"/>
    <w:rsid w:val="004948D3"/>
    <w:rsid w:val="004B2FF2"/>
    <w:rsid w:val="004D0BC7"/>
    <w:rsid w:val="00503DE9"/>
    <w:rsid w:val="00561494"/>
    <w:rsid w:val="00594C4A"/>
    <w:rsid w:val="005E1CCE"/>
    <w:rsid w:val="006762C4"/>
    <w:rsid w:val="006D1AA2"/>
    <w:rsid w:val="006E63A5"/>
    <w:rsid w:val="006F2D67"/>
    <w:rsid w:val="00727200"/>
    <w:rsid w:val="00751A14"/>
    <w:rsid w:val="00786BC6"/>
    <w:rsid w:val="007D1EEF"/>
    <w:rsid w:val="00812134"/>
    <w:rsid w:val="0082495B"/>
    <w:rsid w:val="00855444"/>
    <w:rsid w:val="0086210A"/>
    <w:rsid w:val="008B44B7"/>
    <w:rsid w:val="008B67CF"/>
    <w:rsid w:val="008C2F87"/>
    <w:rsid w:val="00944F5D"/>
    <w:rsid w:val="00960A02"/>
    <w:rsid w:val="009A2E8E"/>
    <w:rsid w:val="009B7AC6"/>
    <w:rsid w:val="009E2010"/>
    <w:rsid w:val="00A06057"/>
    <w:rsid w:val="00A964EB"/>
    <w:rsid w:val="00AC3792"/>
    <w:rsid w:val="00AF36B2"/>
    <w:rsid w:val="00B14093"/>
    <w:rsid w:val="00B56D82"/>
    <w:rsid w:val="00B6484B"/>
    <w:rsid w:val="00C22C6F"/>
    <w:rsid w:val="00C47244"/>
    <w:rsid w:val="00C6604D"/>
    <w:rsid w:val="00C9659F"/>
    <w:rsid w:val="00CA0F75"/>
    <w:rsid w:val="00CD0008"/>
    <w:rsid w:val="00CD7F04"/>
    <w:rsid w:val="00D6496A"/>
    <w:rsid w:val="00D75D5D"/>
    <w:rsid w:val="00D77A18"/>
    <w:rsid w:val="00DB6F1B"/>
    <w:rsid w:val="00E37AEB"/>
    <w:rsid w:val="00E4179E"/>
    <w:rsid w:val="00ED7C82"/>
    <w:rsid w:val="00EF2EBF"/>
    <w:rsid w:val="00F045A0"/>
    <w:rsid w:val="00F572B2"/>
    <w:rsid w:val="00F57EC3"/>
    <w:rsid w:val="00FE78FE"/>
    <w:rsid w:val="00FF01C6"/>
    <w:rsid w:val="0E167D4B"/>
    <w:rsid w:val="2F8B3FF5"/>
    <w:rsid w:val="6EE9264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iPriority w:val="99"/>
    <w:rPr>
      <w:sz w:val="18"/>
      <w:szCs w:val="18"/>
    </w:rPr>
  </w:style>
  <w:style w:type="paragraph" w:styleId="3">
    <w:name w:val="footer"/>
    <w:basedOn w:val="1"/>
    <w:link w:val="8"/>
    <w:semiHidden/>
    <w:qFormat/>
    <w:uiPriority w:val="99"/>
    <w:pPr>
      <w:tabs>
        <w:tab w:val="center" w:pos="4153"/>
        <w:tab w:val="right" w:pos="8306"/>
      </w:tabs>
      <w:snapToGrid w:val="0"/>
      <w:jc w:val="left"/>
    </w:pPr>
    <w:rPr>
      <w:sz w:val="18"/>
      <w:szCs w:val="18"/>
    </w:rPr>
  </w:style>
  <w:style w:type="paragraph" w:styleId="4">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locked/>
    <w:uiPriority w:val="99"/>
    <w:rPr>
      <w:rFonts w:cs="Times New Roman"/>
      <w:sz w:val="18"/>
      <w:szCs w:val="18"/>
    </w:rPr>
  </w:style>
  <w:style w:type="character" w:customStyle="1" w:styleId="8">
    <w:name w:val="页脚 Char"/>
    <w:basedOn w:val="6"/>
    <w:link w:val="3"/>
    <w:semiHidden/>
    <w:qFormat/>
    <w:locked/>
    <w:uiPriority w:val="99"/>
    <w:rPr>
      <w:rFonts w:cs="Times New Roman"/>
      <w:sz w:val="18"/>
      <w:szCs w:val="18"/>
    </w:rPr>
  </w:style>
  <w:style w:type="character" w:customStyle="1" w:styleId="9">
    <w:name w:val="批注框文本 Char"/>
    <w:basedOn w:val="6"/>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36</Words>
  <Characters>208</Characters>
  <Lines>1</Lines>
  <Paragraphs>1</Paragraphs>
  <TotalTime>0</TotalTime>
  <ScaleCrop>false</ScaleCrop>
  <LinksUpToDate>false</LinksUpToDate>
  <CharactersWithSpaces>243</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2015-11-17T02:36:00Z</dcterms:created>
  <dc:creator>admin</dc:creator>
  <cp:lastModifiedBy>李东霞</cp:lastModifiedBy>
  <cp:lastPrinted>2015-11-17T05:50:00Z</cp:lastPrinted>
  <dcterms:modified xsi:type="dcterms:W3CDTF">2020-10-27T07:21:58Z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